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37A38" w14:textId="6D808C30" w:rsidR="00C63218" w:rsidRPr="0037754D" w:rsidRDefault="0027697A" w:rsidP="00D706C8">
      <w:pPr>
        <w:rPr>
          <w:bCs/>
          <w:sz w:val="18"/>
          <w:szCs w:val="22"/>
        </w:rPr>
      </w:pPr>
      <w:r w:rsidRPr="003F60CB">
        <w:rPr>
          <w:b/>
          <w:bCs/>
          <w:sz w:val="24"/>
          <w:szCs w:val="24"/>
        </w:rPr>
        <w:t>PRIX DE</w:t>
      </w:r>
      <w:r w:rsidR="005D089F" w:rsidRPr="003F60CB">
        <w:rPr>
          <w:b/>
          <w:bCs/>
          <w:sz w:val="24"/>
          <w:szCs w:val="24"/>
        </w:rPr>
        <w:t xml:space="preserve"> L’IMMOBILIER D’HABITATION</w:t>
      </w:r>
      <w:r w:rsidR="00C63218" w:rsidRPr="003F60CB">
        <w:rPr>
          <w:b/>
          <w:bCs/>
          <w:sz w:val="24"/>
          <w:szCs w:val="24"/>
        </w:rPr>
        <w:t xml:space="preserve"> SUR L</w:t>
      </w:r>
      <w:r w:rsidRPr="003F60CB">
        <w:rPr>
          <w:b/>
          <w:bCs/>
          <w:sz w:val="24"/>
          <w:szCs w:val="24"/>
        </w:rPr>
        <w:t>E LONG TERME</w:t>
      </w:r>
      <w:r w:rsidR="0070543F" w:rsidRPr="000D05DC">
        <w:rPr>
          <w:bCs/>
          <w:sz w:val="12"/>
          <w:szCs w:val="12"/>
        </w:rPr>
        <w:t xml:space="preserve"> </w:t>
      </w:r>
      <w:r w:rsidR="00783D29">
        <w:rPr>
          <w:bCs/>
          <w:sz w:val="12"/>
          <w:szCs w:val="12"/>
        </w:rPr>
        <w:t xml:space="preserve"> </w:t>
      </w:r>
      <w:r w:rsidR="00634C7C" w:rsidRPr="00416E0D">
        <w:rPr>
          <w:bCs/>
        </w:rPr>
        <w:t xml:space="preserve">Actualisé le </w:t>
      </w:r>
      <w:r w:rsidR="005A5502">
        <w:rPr>
          <w:bCs/>
        </w:rPr>
        <w:t>1</w:t>
      </w:r>
      <w:r w:rsidR="00820A31">
        <w:rPr>
          <w:bCs/>
        </w:rPr>
        <w:t>3 janvier</w:t>
      </w:r>
      <w:r w:rsidR="00C9780F">
        <w:rPr>
          <w:bCs/>
        </w:rPr>
        <w:t xml:space="preserve"> 202</w:t>
      </w:r>
      <w:r w:rsidR="00820A31">
        <w:rPr>
          <w:bCs/>
        </w:rPr>
        <w:t>1</w:t>
      </w:r>
      <w:r w:rsidR="005E0F72">
        <w:rPr>
          <w:bCs/>
        </w:rPr>
        <w:t xml:space="preserve"> </w:t>
      </w:r>
      <w:hyperlink r:id="rId8" w:history="1">
        <w:r w:rsidR="003C00C8" w:rsidRPr="000E2730">
          <w:rPr>
            <w:color w:val="800080"/>
            <w:u w:val="single"/>
          </w:rPr>
          <w:t>Annonces des mises à jour</w:t>
        </w:r>
      </w:hyperlink>
      <w:r w:rsidR="000E2730">
        <w:rPr>
          <w:bCs/>
          <w:sz w:val="16"/>
          <w:szCs w:val="16"/>
        </w:rPr>
        <w:t xml:space="preserve"> </w:t>
      </w:r>
      <w:r w:rsidR="00FF0C28">
        <w:rPr>
          <w:bCs/>
          <w:noProof/>
          <w:sz w:val="16"/>
          <w:szCs w:val="16"/>
        </w:rPr>
        <w:drawing>
          <wp:inline distT="0" distB="0" distL="0" distR="0" wp14:anchorId="116613DC" wp14:editId="1414897C">
            <wp:extent cx="213360" cy="129540"/>
            <wp:effectExtent l="0" t="0" r="0" b="3810"/>
            <wp:docPr id="1" name="Image 1" descr="tunnel de friggit cour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nel de friggit cou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29540"/>
                    </a:xfrm>
                    <a:prstGeom prst="rect">
                      <a:avLst/>
                    </a:prstGeom>
                    <a:noFill/>
                    <a:ln>
                      <a:noFill/>
                    </a:ln>
                  </pic:spPr>
                </pic:pic>
              </a:graphicData>
            </a:graphic>
          </wp:inline>
        </w:drawing>
      </w:r>
      <w:hyperlink r:id="rId11" w:history="1">
        <w:r w:rsidR="00CB5C84" w:rsidRPr="00CB5C84">
          <w:rPr>
            <w:color w:val="800080"/>
            <w:u w:val="single"/>
          </w:rPr>
          <w:t>English</w:t>
        </w:r>
      </w:hyperlink>
      <w:r w:rsidR="003E2E85">
        <w:rPr>
          <w:bCs/>
          <w:sz w:val="16"/>
          <w:szCs w:val="16"/>
        </w:rPr>
        <w:t xml:space="preserve"> </w:t>
      </w:r>
      <w:hyperlink r:id="rId12" w:history="1">
        <w:r w:rsidR="004A4AEF" w:rsidRPr="000E2730">
          <w:rPr>
            <w:rStyle w:val="Lienhypertexte"/>
            <w:bCs/>
          </w:rPr>
          <w:t>@PrixImmoCgedd</w:t>
        </w:r>
      </w:hyperlink>
      <w:r w:rsidR="00DC2684">
        <w:rPr>
          <w:bCs/>
        </w:rPr>
        <w:t xml:space="preserve"> </w:t>
      </w:r>
      <w:r w:rsidR="00B36B98">
        <w:rPr>
          <w:bCs/>
          <w:sz w:val="18"/>
          <w:szCs w:val="22"/>
        </w:rPr>
        <w:t>P</w:t>
      </w:r>
      <w:r w:rsidR="00696030" w:rsidRPr="000D05DC">
        <w:rPr>
          <w:bCs/>
          <w:sz w:val="18"/>
          <w:szCs w:val="22"/>
        </w:rPr>
        <w:t>age 1</w:t>
      </w:r>
    </w:p>
    <w:p w14:paraId="65746CE4" w14:textId="77777777" w:rsidR="004A4AEF" w:rsidRPr="007E5C4F" w:rsidRDefault="004A4AEF" w:rsidP="004A4AEF">
      <w:pPr>
        <w:rPr>
          <w:sz w:val="16"/>
          <w:szCs w:val="16"/>
        </w:rPr>
        <w:sectPr w:rsidR="004A4AEF" w:rsidRPr="007E5C4F" w:rsidSect="00A645E5">
          <w:pgSz w:w="16838" w:h="11906" w:orient="landscape" w:code="9"/>
          <w:pgMar w:top="193" w:right="680" w:bottom="198" w:left="227" w:header="720" w:footer="720" w:gutter="0"/>
          <w:cols w:space="0"/>
        </w:sectPr>
      </w:pPr>
    </w:p>
    <w:p w14:paraId="3E8249A9" w14:textId="6E42490F" w:rsidR="00646276" w:rsidRDefault="00371258" w:rsidP="00646276">
      <w:pPr>
        <w:keepNext/>
        <w:keepLines/>
        <w:rPr>
          <w:b/>
          <w:bCs/>
          <w:sz w:val="24"/>
          <w:szCs w:val="24"/>
        </w:rPr>
      </w:pPr>
      <w:r w:rsidRPr="00416E0D">
        <w:rPr>
          <w:b/>
          <w:bCs/>
          <w:sz w:val="24"/>
          <w:szCs w:val="24"/>
        </w:rPr>
        <w:t>Actualisation des graphiques de cett</w:t>
      </w:r>
      <w:r w:rsidR="00854788">
        <w:rPr>
          <w:b/>
          <w:bCs/>
          <w:sz w:val="24"/>
          <w:szCs w:val="24"/>
        </w:rPr>
        <w:t xml:space="preserve">e </w:t>
      </w:r>
      <w:hyperlink r:id="rId13" w:history="1">
        <w:r w:rsidRPr="00854788">
          <w:rPr>
            <w:b/>
            <w:bCs/>
            <w:color w:val="0000FF"/>
            <w:sz w:val="24"/>
            <w:szCs w:val="24"/>
            <w:u w:val="single"/>
          </w:rPr>
          <w:t>présentation</w:t>
        </w:r>
      </w:hyperlink>
      <w:r w:rsidRPr="00416E0D">
        <w:rPr>
          <w:b/>
          <w:bCs/>
          <w:sz w:val="24"/>
          <w:szCs w:val="24"/>
        </w:rPr>
        <w:t xml:space="preserve"> et de ces notes sur les </w:t>
      </w:r>
      <w:hyperlink r:id="rId14" w:history="1">
        <w:r w:rsidRPr="00854788">
          <w:rPr>
            <w:b/>
            <w:color w:val="0000FF"/>
            <w:sz w:val="24"/>
            <w:szCs w:val="24"/>
            <w:u w:val="single"/>
          </w:rPr>
          <w:t>loyers</w:t>
        </w:r>
      </w:hyperlink>
      <w:r w:rsidR="000B2116">
        <w:rPr>
          <w:b/>
          <w:bCs/>
          <w:sz w:val="24"/>
          <w:szCs w:val="24"/>
        </w:rPr>
        <w:t xml:space="preserve">, </w:t>
      </w:r>
      <w:r w:rsidRPr="00416E0D">
        <w:rPr>
          <w:b/>
          <w:bCs/>
          <w:sz w:val="24"/>
          <w:szCs w:val="24"/>
        </w:rPr>
        <w:t xml:space="preserve">les </w:t>
      </w:r>
      <w:hyperlink r:id="rId15" w:history="1">
        <w:r w:rsidR="00463D74">
          <w:rPr>
            <w:rStyle w:val="Lienhypertexte"/>
            <w:b/>
            <w:bCs/>
            <w:color w:val="0000FF"/>
            <w:sz w:val="24"/>
            <w:szCs w:val="24"/>
            <w:u w:val="single"/>
          </w:rPr>
          <w:t>prix de l’immobilier</w:t>
        </w:r>
      </w:hyperlink>
      <w:r w:rsidRPr="00416E0D">
        <w:rPr>
          <w:b/>
          <w:bCs/>
          <w:sz w:val="24"/>
          <w:szCs w:val="24"/>
        </w:rPr>
        <w:t xml:space="preserve"> d’habitation </w:t>
      </w:r>
      <w:r w:rsidR="000B2116">
        <w:rPr>
          <w:b/>
          <w:bCs/>
          <w:sz w:val="24"/>
          <w:szCs w:val="24"/>
        </w:rPr>
        <w:t xml:space="preserve">et le </w:t>
      </w:r>
      <w:hyperlink r:id="rId16" w:history="1">
        <w:r w:rsidR="000B2116" w:rsidRPr="00854788">
          <w:rPr>
            <w:b/>
            <w:color w:val="0000FF"/>
            <w:sz w:val="24"/>
            <w:szCs w:val="24"/>
            <w:u w:val="single"/>
          </w:rPr>
          <w:t>montant des ventes immobilières</w:t>
        </w:r>
      </w:hyperlink>
      <w:r w:rsidR="000B2116">
        <w:rPr>
          <w:b/>
          <w:bCs/>
          <w:sz w:val="24"/>
          <w:szCs w:val="24"/>
        </w:rPr>
        <w:t xml:space="preserve"> </w:t>
      </w:r>
      <w:r w:rsidRPr="00416E0D">
        <w:rPr>
          <w:b/>
          <w:bCs/>
          <w:sz w:val="24"/>
          <w:szCs w:val="24"/>
        </w:rPr>
        <w:t>sur le long terme et</w:t>
      </w:r>
      <w:r w:rsidR="00416E0D" w:rsidRPr="00416E0D">
        <w:rPr>
          <w:b/>
          <w:bCs/>
          <w:sz w:val="24"/>
          <w:szCs w:val="24"/>
        </w:rPr>
        <w:t xml:space="preserve"> autres documents téléchargeables</w:t>
      </w:r>
      <w:r w:rsidR="000C31C4">
        <w:rPr>
          <w:b/>
          <w:bCs/>
          <w:sz w:val="24"/>
          <w:szCs w:val="24"/>
        </w:rPr>
        <w:t xml:space="preserve"> dans ce dossier </w:t>
      </w:r>
      <w:hyperlink r:id="rId17" w:history="1">
        <w:r w:rsidR="000C31C4" w:rsidRPr="00854788">
          <w:rPr>
            <w:b/>
            <w:color w:val="0000FF"/>
            <w:sz w:val="24"/>
            <w:szCs w:val="24"/>
            <w:u w:val="single"/>
          </w:rPr>
          <w:t>historique et prospectif</w:t>
        </w:r>
        <w:r w:rsidR="00273950" w:rsidRPr="00854788">
          <w:rPr>
            <w:b/>
            <w:color w:val="0000FF"/>
            <w:sz w:val="24"/>
            <w:szCs w:val="24"/>
            <w:u w:val="single"/>
          </w:rPr>
          <w:t xml:space="preserve"> sur le marché</w:t>
        </w:r>
        <w:r w:rsidR="000C31C4" w:rsidRPr="00854788">
          <w:rPr>
            <w:b/>
            <w:color w:val="0000FF"/>
            <w:sz w:val="24"/>
            <w:szCs w:val="24"/>
            <w:u w:val="single"/>
          </w:rPr>
          <w:t xml:space="preserve"> immobilier</w:t>
        </w:r>
      </w:hyperlink>
      <w:r w:rsidR="00273950">
        <w:rPr>
          <w:b/>
          <w:bCs/>
          <w:sz w:val="24"/>
          <w:szCs w:val="24"/>
        </w:rPr>
        <w:t xml:space="preserve"> d’habitation.</w:t>
      </w:r>
    </w:p>
    <w:p w14:paraId="2750A247" w14:textId="77777777" w:rsidR="003A78C2" w:rsidRPr="003A78C2" w:rsidRDefault="003A78C2" w:rsidP="00646276">
      <w:pPr>
        <w:keepNext/>
        <w:keepLines/>
        <w:rPr>
          <w:b/>
          <w:bCs/>
          <w:sz w:val="16"/>
          <w:szCs w:val="16"/>
        </w:rPr>
      </w:pPr>
    </w:p>
    <w:p w14:paraId="5B6E3504" w14:textId="595138FD" w:rsidR="00A12107" w:rsidRPr="005D1744" w:rsidRDefault="00713DBC" w:rsidP="00EC0706">
      <w:pPr>
        <w:keepNext/>
        <w:keepLines/>
        <w:rPr>
          <w:b/>
          <w:bCs/>
          <w:sz w:val="24"/>
          <w:szCs w:val="24"/>
        </w:rPr>
      </w:pPr>
      <w:hyperlink r:id="rId18" w:history="1">
        <w:r w:rsidR="00DE47C4" w:rsidRPr="005D1744">
          <w:rPr>
            <w:b/>
            <w:color w:val="0000FF"/>
            <w:sz w:val="24"/>
            <w:szCs w:val="24"/>
            <w:u w:val="single"/>
          </w:rPr>
          <w:t>Dernières publications</w:t>
        </w:r>
      </w:hyperlink>
      <w:r w:rsidR="005D1744">
        <w:rPr>
          <w:b/>
          <w:sz w:val="24"/>
          <w:szCs w:val="24"/>
        </w:rPr>
        <w:t xml:space="preserve">                          </w:t>
      </w:r>
      <w:r w:rsidR="00C21084">
        <w:rPr>
          <w:b/>
          <w:sz w:val="24"/>
          <w:szCs w:val="24"/>
        </w:rPr>
        <w:t xml:space="preserve">                        </w:t>
      </w:r>
      <w:r w:rsidR="005D1744">
        <w:rPr>
          <w:b/>
          <w:sz w:val="24"/>
          <w:szCs w:val="24"/>
        </w:rPr>
        <w:t xml:space="preserve">                                       Va</w:t>
      </w:r>
      <w:r w:rsidR="005D1744" w:rsidRPr="00646276">
        <w:rPr>
          <w:b/>
          <w:sz w:val="24"/>
          <w:szCs w:val="24"/>
        </w:rPr>
        <w:t>leurs numériques</w:t>
      </w:r>
      <w:r w:rsidR="005D1744">
        <w:rPr>
          <w:b/>
          <w:sz w:val="24"/>
          <w:szCs w:val="24"/>
        </w:rPr>
        <w:t> :</w:t>
      </w:r>
      <w:r w:rsidR="005D1744" w:rsidRPr="00646276">
        <w:rPr>
          <w:sz w:val="24"/>
          <w:szCs w:val="24"/>
        </w:rPr>
        <w:t xml:space="preserve"> </w:t>
      </w:r>
      <w:hyperlink r:id="rId19" w:history="1">
        <w:r w:rsidR="00C21084">
          <w:rPr>
            <w:b/>
            <w:bCs/>
            <w:color w:val="0000FF"/>
            <w:sz w:val="24"/>
            <w:szCs w:val="24"/>
            <w:u w:val="single"/>
          </w:rPr>
          <w:t>depuis 1</w:t>
        </w:r>
        <w:r w:rsidR="005D1744" w:rsidRPr="00854788">
          <w:rPr>
            <w:b/>
            <w:bCs/>
            <w:color w:val="0000FF"/>
            <w:sz w:val="24"/>
            <w:szCs w:val="24"/>
            <w:u w:val="single"/>
          </w:rPr>
          <w:t>800 (France)</w:t>
        </w:r>
      </w:hyperlink>
      <w:r w:rsidR="005D1744" w:rsidRPr="00646276">
        <w:rPr>
          <w:sz w:val="24"/>
          <w:szCs w:val="24"/>
        </w:rPr>
        <w:t xml:space="preserve"> </w:t>
      </w:r>
      <w:r w:rsidR="005D1744">
        <w:rPr>
          <w:sz w:val="24"/>
          <w:szCs w:val="24"/>
        </w:rPr>
        <w:t xml:space="preserve">et </w:t>
      </w:r>
      <w:hyperlink r:id="rId20" w:history="1">
        <w:r w:rsidR="00C21084" w:rsidRPr="00A477A4">
          <w:rPr>
            <w:b/>
            <w:color w:val="0000FF"/>
            <w:sz w:val="24"/>
            <w:u w:val="single"/>
          </w:rPr>
          <w:t xml:space="preserve">depuis 1200 </w:t>
        </w:r>
        <w:r w:rsidR="005D1744" w:rsidRPr="00A477A4">
          <w:rPr>
            <w:b/>
            <w:color w:val="0000FF"/>
            <w:sz w:val="24"/>
            <w:u w:val="single"/>
          </w:rPr>
          <w:t>(Paris)</w:t>
        </w:r>
      </w:hyperlink>
      <w:r w:rsidR="005D1744">
        <w:rPr>
          <w:b/>
          <w:bCs/>
          <w:sz w:val="24"/>
          <w:szCs w:val="24"/>
        </w:rPr>
        <w:t>.</w:t>
      </w:r>
    </w:p>
    <w:p w14:paraId="2DF4AF46" w14:textId="77777777" w:rsidR="00DE47C4" w:rsidRPr="00DE47C4" w:rsidRDefault="00DE47C4" w:rsidP="00EC0706">
      <w:pPr>
        <w:keepNext/>
        <w:keepLines/>
        <w:rPr>
          <w:bCs/>
          <w:color w:val="0000FF"/>
          <w:sz w:val="4"/>
          <w:szCs w:val="4"/>
          <w:u w:val="single"/>
        </w:rPr>
      </w:pPr>
    </w:p>
    <w:p w14:paraId="1EF4DB96" w14:textId="46F580C4" w:rsidR="00371258" w:rsidRDefault="00713DBC" w:rsidP="00EC0706">
      <w:pPr>
        <w:keepNext/>
        <w:keepLines/>
        <w:rPr>
          <w:b/>
          <w:bCs/>
          <w:color w:val="0000FF"/>
          <w:sz w:val="24"/>
          <w:szCs w:val="24"/>
          <w:u w:val="single"/>
        </w:rPr>
      </w:pPr>
      <w:hyperlink r:id="rId21" w:history="1">
        <w:r w:rsidR="00A548E1" w:rsidRPr="00854788">
          <w:rPr>
            <w:color w:val="0000FF"/>
            <w:sz w:val="24"/>
            <w:szCs w:val="24"/>
            <w:u w:val="single"/>
          </w:rPr>
          <w:t xml:space="preserve">Pour </w:t>
        </w:r>
        <w:r w:rsidR="00B10A87">
          <w:rPr>
            <w:color w:val="0000FF"/>
            <w:sz w:val="24"/>
            <w:szCs w:val="24"/>
            <w:u w:val="single"/>
          </w:rPr>
          <w:t>s’</w:t>
        </w:r>
        <w:r w:rsidR="00A548E1" w:rsidRPr="00854788">
          <w:rPr>
            <w:color w:val="0000FF"/>
            <w:sz w:val="24"/>
            <w:szCs w:val="24"/>
            <w:u w:val="single"/>
          </w:rPr>
          <w:t>abonner aux annonces des mises à jour de ces graphiques</w:t>
        </w:r>
      </w:hyperlink>
      <w:r w:rsidR="00DD4748" w:rsidRPr="008D354C">
        <w:rPr>
          <w:sz w:val="24"/>
          <w:szCs w:val="24"/>
        </w:rPr>
        <w:t xml:space="preserve">     </w:t>
      </w:r>
      <w:hyperlink r:id="rId22" w:history="1">
        <w:r w:rsidR="007104A6" w:rsidRPr="007104A6">
          <w:rPr>
            <w:color w:val="0000FF"/>
            <w:sz w:val="24"/>
            <w:szCs w:val="24"/>
            <w:u w:val="single"/>
          </w:rPr>
          <w:t>Comment</w:t>
        </w:r>
        <w:r w:rsidR="007104A6">
          <w:rPr>
            <w:color w:val="0000FF"/>
            <w:sz w:val="24"/>
            <w:szCs w:val="24"/>
            <w:u w:val="single"/>
          </w:rPr>
          <w:t>aire des graphiques</w:t>
        </w:r>
      </w:hyperlink>
      <w:r w:rsidR="00DD4748" w:rsidRPr="008D354C">
        <w:rPr>
          <w:sz w:val="24"/>
          <w:szCs w:val="24"/>
        </w:rPr>
        <w:t xml:space="preserve"> </w:t>
      </w:r>
      <w:bookmarkStart w:id="0" w:name="_Hlk40083031"/>
      <w:r w:rsidR="00DD4748" w:rsidRPr="008D354C">
        <w:rPr>
          <w:sz w:val="24"/>
          <w:szCs w:val="24"/>
        </w:rPr>
        <w:t xml:space="preserve"> </w:t>
      </w:r>
      <w:r w:rsidR="007104A6" w:rsidRPr="008D354C">
        <w:rPr>
          <w:sz w:val="24"/>
          <w:szCs w:val="24"/>
        </w:rPr>
        <w:t xml:space="preserve">    </w:t>
      </w:r>
      <w:r w:rsidR="00DD4748" w:rsidRPr="008D354C">
        <w:rPr>
          <w:sz w:val="24"/>
          <w:szCs w:val="24"/>
        </w:rPr>
        <w:t xml:space="preserve">        </w:t>
      </w:r>
      <w:hyperlink w:anchor="Coronavirus" w:history="1">
        <w:r w:rsidR="00DD4748" w:rsidRPr="004E6E5F">
          <w:rPr>
            <w:rStyle w:val="Lienhypertexte"/>
            <w:b/>
            <w:bCs/>
            <w:color w:val="FF0000"/>
            <w:sz w:val="24"/>
            <w:szCs w:val="24"/>
            <w:bdr w:val="single" w:sz="4" w:space="0" w:color="FF0000"/>
          </w:rPr>
          <w:t>SPECIAL CORONAVIRUS VOIR PAGE</w:t>
        </w:r>
      </w:hyperlink>
      <w:r w:rsidR="00DD4748" w:rsidRPr="004E6E5F">
        <w:rPr>
          <w:b/>
          <w:bCs/>
          <w:color w:val="FF0000"/>
          <w:sz w:val="24"/>
          <w:szCs w:val="24"/>
          <w:bdr w:val="single" w:sz="4" w:space="0" w:color="FF0000"/>
        </w:rPr>
        <w:t xml:space="preserve"> </w:t>
      </w:r>
      <w:r w:rsidR="00DD4748" w:rsidRPr="004E6E5F">
        <w:rPr>
          <w:b/>
          <w:bCs/>
          <w:color w:val="FF0000"/>
          <w:sz w:val="24"/>
          <w:szCs w:val="24"/>
          <w:u w:val="single"/>
          <w:bdr w:val="single" w:sz="4" w:space="0" w:color="FF0000"/>
        </w:rPr>
        <w:fldChar w:fldCharType="begin"/>
      </w:r>
      <w:r w:rsidR="00DD4748" w:rsidRPr="004E6E5F">
        <w:rPr>
          <w:b/>
          <w:bCs/>
          <w:color w:val="FF0000"/>
          <w:sz w:val="24"/>
          <w:szCs w:val="24"/>
          <w:bdr w:val="single" w:sz="4" w:space="0" w:color="FF0000"/>
        </w:rPr>
        <w:instrText xml:space="preserve"> PAGEREF Coronavirus \h </w:instrText>
      </w:r>
      <w:r w:rsidR="00DD4748" w:rsidRPr="004E6E5F">
        <w:rPr>
          <w:b/>
          <w:bCs/>
          <w:color w:val="FF0000"/>
          <w:sz w:val="24"/>
          <w:szCs w:val="24"/>
          <w:u w:val="single"/>
          <w:bdr w:val="single" w:sz="4" w:space="0" w:color="FF0000"/>
        </w:rPr>
      </w:r>
      <w:r w:rsidR="00DD4748" w:rsidRPr="004E6E5F">
        <w:rPr>
          <w:b/>
          <w:bCs/>
          <w:color w:val="FF0000"/>
          <w:sz w:val="24"/>
          <w:szCs w:val="24"/>
          <w:u w:val="single"/>
          <w:bdr w:val="single" w:sz="4" w:space="0" w:color="FF0000"/>
        </w:rPr>
        <w:fldChar w:fldCharType="separate"/>
      </w:r>
      <w:r w:rsidR="00553546">
        <w:rPr>
          <w:b/>
          <w:bCs/>
          <w:noProof/>
          <w:color w:val="FF0000"/>
          <w:sz w:val="24"/>
          <w:szCs w:val="24"/>
          <w:bdr w:val="single" w:sz="4" w:space="0" w:color="FF0000"/>
        </w:rPr>
        <w:t>9</w:t>
      </w:r>
      <w:r w:rsidR="00DD4748" w:rsidRPr="004E6E5F">
        <w:rPr>
          <w:b/>
          <w:bCs/>
          <w:color w:val="FF0000"/>
          <w:sz w:val="24"/>
          <w:szCs w:val="24"/>
          <w:u w:val="single"/>
          <w:bdr w:val="single" w:sz="4" w:space="0" w:color="FF0000"/>
        </w:rPr>
        <w:fldChar w:fldCharType="end"/>
      </w:r>
    </w:p>
    <w:bookmarkEnd w:id="0"/>
    <w:p w14:paraId="29A75B7B" w14:textId="77777777" w:rsidR="00E37702" w:rsidRPr="004D21C8" w:rsidRDefault="00AD0517" w:rsidP="004D21C8">
      <w:pPr>
        <w:pStyle w:val="Paragraphedeliste"/>
        <w:numPr>
          <w:ilvl w:val="0"/>
          <w:numId w:val="4"/>
        </w:numPr>
        <w:jc w:val="center"/>
        <w:rPr>
          <w:rFonts w:cs="Arial"/>
          <w:b/>
          <w:bCs/>
          <w:sz w:val="24"/>
          <w:szCs w:val="24"/>
        </w:rPr>
      </w:pPr>
      <w:r w:rsidRPr="004D21C8">
        <w:rPr>
          <w:rFonts w:cs="Arial"/>
          <w:b/>
          <w:bCs/>
          <w:sz w:val="24"/>
          <w:szCs w:val="24"/>
        </w:rPr>
        <w:t>SYNTHESE</w:t>
      </w:r>
    </w:p>
    <w:p w14:paraId="5244DA6C" w14:textId="638BE799" w:rsidR="007A30AD" w:rsidRDefault="009F3626" w:rsidP="00371258">
      <w:pPr>
        <w:jc w:val="center"/>
        <w:rPr>
          <w:b/>
          <w:bCs/>
          <w:sz w:val="24"/>
          <w:szCs w:val="24"/>
        </w:rPr>
      </w:pPr>
      <w:r>
        <w:rPr>
          <w:b/>
          <w:bCs/>
          <w:sz w:val="24"/>
          <w:szCs w:val="24"/>
        </w:rPr>
        <w:t xml:space="preserve">Indice de prix, </w:t>
      </w:r>
      <w:r w:rsidR="00371258" w:rsidRPr="00E37702">
        <w:rPr>
          <w:b/>
          <w:bCs/>
          <w:sz w:val="24"/>
          <w:szCs w:val="24"/>
        </w:rPr>
        <w:t>nombre et montant des</w:t>
      </w:r>
      <w:r w:rsidR="00371258" w:rsidRPr="00E37702">
        <w:rPr>
          <w:rFonts w:cs="Arial"/>
          <w:b/>
          <w:bCs/>
          <w:sz w:val="24"/>
          <w:szCs w:val="24"/>
        </w:rPr>
        <w:t xml:space="preserve"> </w:t>
      </w:r>
      <w:r w:rsidR="00371258" w:rsidRPr="00E37702">
        <w:rPr>
          <w:b/>
          <w:bCs/>
          <w:sz w:val="24"/>
          <w:szCs w:val="24"/>
        </w:rPr>
        <w:t>ventes de logements anciens</w:t>
      </w:r>
      <w:r w:rsidR="007A30AD">
        <w:rPr>
          <w:b/>
          <w:bCs/>
          <w:sz w:val="24"/>
          <w:szCs w:val="24"/>
        </w:rPr>
        <w:t xml:space="preserve"> et</w:t>
      </w:r>
      <w:r>
        <w:rPr>
          <w:b/>
          <w:bCs/>
          <w:sz w:val="24"/>
          <w:szCs w:val="24"/>
        </w:rPr>
        <w:t xml:space="preserve"> indice des loyers</w:t>
      </w:r>
      <w:r w:rsidR="00663B64">
        <w:rPr>
          <w:b/>
          <w:bCs/>
          <w:sz w:val="24"/>
          <w:szCs w:val="24"/>
        </w:rPr>
        <w:t xml:space="preserve"> </w:t>
      </w:r>
      <w:r w:rsidR="007A30AD" w:rsidRPr="00E37702">
        <w:rPr>
          <w:b/>
          <w:bCs/>
          <w:sz w:val="24"/>
          <w:szCs w:val="24"/>
        </w:rPr>
        <w:t>rapportés à leur tendance longue</w:t>
      </w:r>
      <w:r w:rsidR="007A30AD" w:rsidRPr="00E37702">
        <w:rPr>
          <w:rFonts w:cs="Arial"/>
          <w:b/>
          <w:bCs/>
          <w:sz w:val="24"/>
          <w:szCs w:val="24"/>
        </w:rPr>
        <w:t xml:space="preserve"> respective</w:t>
      </w:r>
      <w:r w:rsidR="007A30AD">
        <w:rPr>
          <w:b/>
          <w:bCs/>
          <w:sz w:val="24"/>
          <w:szCs w:val="24"/>
        </w:rPr>
        <w:t xml:space="preserve"> </w:t>
      </w:r>
    </w:p>
    <w:p w14:paraId="146D4F35" w14:textId="0DE62C79" w:rsidR="00371258" w:rsidRPr="00E37702" w:rsidRDefault="00663B64" w:rsidP="00371258">
      <w:pPr>
        <w:jc w:val="center"/>
        <w:rPr>
          <w:rFonts w:cs="Arial"/>
          <w:b/>
          <w:bCs/>
          <w:sz w:val="24"/>
          <w:szCs w:val="24"/>
        </w:rPr>
      </w:pPr>
      <w:r>
        <w:rPr>
          <w:b/>
          <w:bCs/>
          <w:sz w:val="24"/>
          <w:szCs w:val="24"/>
        </w:rPr>
        <w:t>et durée d’emprunt pour acheter le même logement</w:t>
      </w:r>
      <w:r w:rsidR="00665D00">
        <w:rPr>
          <w:b/>
          <w:bCs/>
          <w:sz w:val="24"/>
          <w:szCs w:val="24"/>
        </w:rPr>
        <w:t>,</w:t>
      </w:r>
      <w:r w:rsidR="00371258" w:rsidRPr="00E37702">
        <w:rPr>
          <w:b/>
          <w:bCs/>
          <w:sz w:val="24"/>
          <w:szCs w:val="24"/>
        </w:rPr>
        <w:t xml:space="preserve"> </w:t>
      </w:r>
    </w:p>
    <w:p w14:paraId="40846FB5" w14:textId="389BCF0C" w:rsidR="00AD0517" w:rsidRDefault="00713DBC" w:rsidP="00371258">
      <w:pPr>
        <w:keepNext/>
        <w:keepLines/>
        <w:jc w:val="center"/>
        <w:rPr>
          <w:rFonts w:cs="Arial"/>
          <w:b/>
          <w:bCs/>
        </w:rPr>
      </w:pPr>
      <w:r>
        <w:pict w14:anchorId="5C3A0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pt;height:407.6pt" o:bordertopcolor="this" o:borderleftcolor="this" o:borderbottomcolor="this" o:borderrightcolor="this">
            <v:imagedata r:id="rId23" o:title=""/>
            <w10:bordertop type="single" width="4"/>
            <w10:borderleft type="single" width="4"/>
            <w10:borderbottom type="single" width="4"/>
            <w10:borderright type="single" width="4"/>
          </v:shape>
        </w:pict>
      </w:r>
    </w:p>
    <w:p w14:paraId="33BE4939" w14:textId="6437D598" w:rsidR="007950D1" w:rsidRPr="00032B43" w:rsidRDefault="00945CCE" w:rsidP="0085666B">
      <w:pPr>
        <w:keepNext/>
        <w:keepLines/>
        <w:jc w:val="left"/>
        <w:rPr>
          <w:sz w:val="16"/>
          <w:szCs w:val="16"/>
        </w:rPr>
      </w:pPr>
      <w:r w:rsidRPr="00DE045C">
        <w:rPr>
          <w:rFonts w:cs="Arial"/>
          <w:sz w:val="16"/>
          <w:szCs w:val="16"/>
        </w:rPr>
        <w:t xml:space="preserve">Source: </w:t>
      </w:r>
      <w:hyperlink r:id="rId24" w:history="1">
        <w:r w:rsidRPr="00DE045C">
          <w:rPr>
            <w:rStyle w:val="Lienhypertexte"/>
            <w:rFonts w:cs="Arial"/>
            <w:color w:val="0000FF"/>
            <w:sz w:val="16"/>
            <w:szCs w:val="16"/>
            <w:u w:val="single"/>
          </w:rPr>
          <w:t>CGEDD</w:t>
        </w:r>
      </w:hyperlink>
      <w:r w:rsidRPr="00DE045C">
        <w:rPr>
          <w:rFonts w:cs="Arial"/>
          <w:sz w:val="16"/>
          <w:szCs w:val="16"/>
        </w:rPr>
        <w:t xml:space="preserve"> d’après INSEE, bases de données notariales, indices Notaires-INSEE désaisonnalisés</w:t>
      </w:r>
      <w:r w:rsidR="00106100">
        <w:rPr>
          <w:rFonts w:cs="Arial"/>
          <w:sz w:val="16"/>
          <w:szCs w:val="16"/>
        </w:rPr>
        <w:t>,</w:t>
      </w:r>
      <w:r w:rsidRPr="00DE045C">
        <w:rPr>
          <w:rFonts w:cs="Arial"/>
          <w:sz w:val="16"/>
          <w:szCs w:val="16"/>
        </w:rPr>
        <w:t xml:space="preserve"> DGFiP (MEDOC)</w:t>
      </w:r>
      <w:r w:rsidR="00106100">
        <w:rPr>
          <w:rFonts w:cs="Arial"/>
          <w:sz w:val="16"/>
          <w:szCs w:val="16"/>
        </w:rPr>
        <w:t xml:space="preserve"> &amp; Banque de France</w:t>
      </w:r>
      <w:r w:rsidRPr="00DE045C">
        <w:rPr>
          <w:rFonts w:cs="Arial"/>
          <w:sz w:val="16"/>
          <w:szCs w:val="16"/>
        </w:rPr>
        <w:t>.</w:t>
      </w:r>
      <w:r w:rsidR="00B137B3" w:rsidRPr="00DE045C">
        <w:rPr>
          <w:rFonts w:cs="Arial"/>
          <w:sz w:val="16"/>
          <w:szCs w:val="16"/>
        </w:rPr>
        <w:t xml:space="preserve">  Sur le prix de</w:t>
      </w:r>
      <w:r w:rsidR="00392B8F">
        <w:rPr>
          <w:rFonts w:cs="Arial"/>
          <w:sz w:val="16"/>
          <w:szCs w:val="16"/>
        </w:rPr>
        <w:t>s</w:t>
      </w:r>
      <w:r w:rsidR="00B137B3" w:rsidRPr="00DE045C">
        <w:rPr>
          <w:rFonts w:cs="Arial"/>
          <w:sz w:val="16"/>
          <w:szCs w:val="16"/>
        </w:rPr>
        <w:t xml:space="preserve"> logements anciens, cf. le </w:t>
      </w:r>
      <w:r w:rsidR="00755E48" w:rsidRPr="00DE045C">
        <w:rPr>
          <w:sz w:val="16"/>
          <w:szCs w:val="16"/>
        </w:rPr>
        <w:t xml:space="preserve">§ </w:t>
      </w:r>
      <w:r w:rsidR="0085666B">
        <w:rPr>
          <w:sz w:val="16"/>
          <w:szCs w:val="16"/>
        </w:rPr>
        <w:t xml:space="preserve"> </w:t>
      </w:r>
      <w:r w:rsidR="00755E48" w:rsidRPr="00DE045C">
        <w:rPr>
          <w:sz w:val="16"/>
          <w:szCs w:val="16"/>
        </w:rPr>
        <w:t xml:space="preserve">2.3.1.1., de cette note sur </w:t>
      </w:r>
      <w:r w:rsidR="00755E48" w:rsidRPr="00DE045C">
        <w:rPr>
          <w:rFonts w:cs="Arial"/>
          <w:color w:val="0000FF"/>
          <w:sz w:val="16"/>
          <w:szCs w:val="16"/>
          <w:u w:val="single"/>
        </w:rPr>
        <w:t xml:space="preserve">le </w:t>
      </w:r>
      <w:hyperlink r:id="rId25" w:history="1">
        <w:r w:rsidR="00755E48" w:rsidRPr="00DE045C">
          <w:rPr>
            <w:rFonts w:cs="Arial"/>
            <w:color w:val="0000FF"/>
            <w:sz w:val="16"/>
            <w:szCs w:val="16"/>
            <w:u w:val="single"/>
          </w:rPr>
          <w:t>prix de l’immobilier d’habitation sur le long terme</w:t>
        </w:r>
      </w:hyperlink>
      <w:r w:rsidR="00755E48" w:rsidRPr="00DE045C">
        <w:rPr>
          <w:sz w:val="16"/>
          <w:szCs w:val="16"/>
        </w:rPr>
        <w:t xml:space="preserve">.  </w:t>
      </w:r>
      <w:r w:rsidR="00392B8F">
        <w:rPr>
          <w:sz w:val="16"/>
          <w:szCs w:val="16"/>
        </w:rPr>
        <w:t xml:space="preserve">Sur le montant et le nombre des ventes de logements anciens, cf. les § </w:t>
      </w:r>
      <w:r w:rsidR="00392B8F" w:rsidRPr="00DE045C">
        <w:rPr>
          <w:sz w:val="16"/>
          <w:szCs w:val="16"/>
        </w:rPr>
        <w:t>5.1.2. et</w:t>
      </w:r>
      <w:r w:rsidR="00392B8F" w:rsidRPr="00DE045C">
        <w:rPr>
          <w:rFonts w:cs="Arial"/>
          <w:sz w:val="16"/>
          <w:szCs w:val="16"/>
        </w:rPr>
        <w:t xml:space="preserve"> 5.2.1.</w:t>
      </w:r>
      <w:r w:rsidR="00392B8F">
        <w:rPr>
          <w:rFonts w:cs="Arial"/>
          <w:sz w:val="16"/>
          <w:szCs w:val="16"/>
        </w:rPr>
        <w:t xml:space="preserve"> de la même note, révisés</w:t>
      </w:r>
      <w:r w:rsidR="00046728">
        <w:rPr>
          <w:rFonts w:cs="Arial"/>
          <w:sz w:val="16"/>
          <w:szCs w:val="16"/>
        </w:rPr>
        <w:t xml:space="preserve"> par</w:t>
      </w:r>
      <w:r w:rsidR="00392B8F">
        <w:rPr>
          <w:rFonts w:cs="Arial"/>
          <w:sz w:val="16"/>
          <w:szCs w:val="16"/>
        </w:rPr>
        <w:t xml:space="preserve"> </w:t>
      </w:r>
      <w:hyperlink r:id="rId26" w:history="1">
        <w:r w:rsidR="00392B8F" w:rsidRPr="00046728">
          <w:rPr>
            <w:color w:val="0000FF"/>
            <w:sz w:val="16"/>
            <w:szCs w:val="16"/>
            <w:u w:val="single"/>
          </w:rPr>
          <w:t>cette note</w:t>
        </w:r>
      </w:hyperlink>
      <w:r w:rsidR="00392B8F">
        <w:rPr>
          <w:rFonts w:cs="Arial"/>
          <w:sz w:val="16"/>
          <w:szCs w:val="16"/>
        </w:rPr>
        <w:t xml:space="preserve">.  </w:t>
      </w:r>
      <w:r w:rsidR="00755E48" w:rsidRPr="00DE045C">
        <w:rPr>
          <w:sz w:val="16"/>
          <w:szCs w:val="16"/>
        </w:rPr>
        <w:t>Sur la croissance relative des loyers et des revenus, cf.</w:t>
      </w:r>
      <w:r w:rsidR="00DE045C" w:rsidRPr="00DE045C">
        <w:rPr>
          <w:sz w:val="16"/>
          <w:szCs w:val="16"/>
        </w:rPr>
        <w:t xml:space="preserve"> cette note sur </w:t>
      </w:r>
      <w:hyperlink r:id="rId27" w:history="1">
        <w:r w:rsidR="00DE045C" w:rsidRPr="00DE045C">
          <w:rPr>
            <w:rFonts w:cs="Arial"/>
            <w:color w:val="0000FF"/>
            <w:sz w:val="16"/>
            <w:szCs w:val="16"/>
            <w:u w:val="single"/>
          </w:rPr>
          <w:t>l’évolution des loyers et des revenus depuis 1970</w:t>
        </w:r>
      </w:hyperlink>
      <w:r w:rsidR="00DE045C" w:rsidRPr="00DE045C">
        <w:rPr>
          <w:sz w:val="16"/>
          <w:szCs w:val="16"/>
        </w:rPr>
        <w:t>.</w:t>
      </w:r>
      <w:r w:rsidR="00106100">
        <w:rPr>
          <w:sz w:val="16"/>
          <w:szCs w:val="16"/>
        </w:rPr>
        <w:t xml:space="preserve">  </w:t>
      </w:r>
      <w:r w:rsidR="00392025">
        <w:rPr>
          <w:sz w:val="16"/>
          <w:szCs w:val="16"/>
        </w:rPr>
        <w:t>Su</w:t>
      </w:r>
      <w:r w:rsidR="00106100">
        <w:rPr>
          <w:sz w:val="16"/>
          <w:szCs w:val="16"/>
        </w:rPr>
        <w:t>r la durée d’emprunt, cf. graphique 3.4. ci-dessous</w:t>
      </w:r>
      <w:r w:rsidR="003428E6">
        <w:rPr>
          <w:sz w:val="16"/>
          <w:szCs w:val="16"/>
        </w:rPr>
        <w:t>.</w:t>
      </w:r>
      <w:r w:rsidR="00106100">
        <w:rPr>
          <w:sz w:val="16"/>
          <w:szCs w:val="16"/>
        </w:rPr>
        <w:t xml:space="preserve"> </w:t>
      </w:r>
      <w:r w:rsidR="00371258">
        <w:rPr>
          <w:rFonts w:cs="Arial"/>
          <w:b/>
          <w:bCs/>
        </w:rPr>
        <w:br w:type="page"/>
      </w:r>
      <w:r w:rsidR="004C204A">
        <w:rPr>
          <w:rFonts w:cs="Arial"/>
          <w:b/>
          <w:bCs/>
        </w:rPr>
        <w:lastRenderedPageBreak/>
        <w:t>2</w:t>
      </w:r>
      <w:r w:rsidR="007950D1" w:rsidRPr="007E5C4F">
        <w:rPr>
          <w:rFonts w:cs="Arial"/>
          <w:b/>
          <w:bCs/>
        </w:rPr>
        <w:t xml:space="preserve">. </w:t>
      </w:r>
      <w:r w:rsidR="007950D1" w:rsidRPr="0051768B">
        <w:rPr>
          <w:rFonts w:cs="Arial"/>
          <w:b/>
          <w:bCs/>
        </w:rPr>
        <w:t>D</w:t>
      </w:r>
      <w:r w:rsidR="00EA1C19">
        <w:rPr>
          <w:rFonts w:cs="Arial"/>
          <w:b/>
          <w:bCs/>
        </w:rPr>
        <w:t>epuis</w:t>
      </w:r>
      <w:r w:rsidR="007950D1" w:rsidRPr="0051768B">
        <w:rPr>
          <w:rFonts w:cs="Arial"/>
          <w:b/>
          <w:bCs/>
        </w:rPr>
        <w:t xml:space="preserve"> 1</w:t>
      </w:r>
      <w:r w:rsidR="001E681E" w:rsidRPr="0051768B">
        <w:rPr>
          <w:rFonts w:cs="Arial"/>
          <w:b/>
          <w:bCs/>
        </w:rPr>
        <w:t>800</w:t>
      </w:r>
      <w:r w:rsidR="00663F3B" w:rsidRPr="000D05DC">
        <w:rPr>
          <w:bCs/>
          <w:sz w:val="12"/>
          <w:szCs w:val="12"/>
        </w:rPr>
        <w:t xml:space="preserve"> </w:t>
      </w:r>
      <w:r w:rsidR="00F71038">
        <w:rPr>
          <w:bCs/>
          <w:sz w:val="12"/>
          <w:szCs w:val="12"/>
        </w:rPr>
        <w:t xml:space="preserve">  </w:t>
      </w:r>
      <w:r w:rsidR="00EC3FC4">
        <w:rPr>
          <w:bCs/>
          <w:sz w:val="12"/>
          <w:szCs w:val="12"/>
        </w:rPr>
        <w:t xml:space="preserve">                                                                                                                                                                                                                                                                                                                                                                                                                                  </w:t>
      </w:r>
      <w:r w:rsidR="00EC3FC4" w:rsidRPr="00EC3FC4">
        <w:rPr>
          <w:bCs/>
          <w:sz w:val="18"/>
          <w:szCs w:val="18"/>
        </w:rPr>
        <w:t>Page 2</w:t>
      </w:r>
    </w:p>
    <w:p w14:paraId="260BDAB6" w14:textId="77777777" w:rsidR="00A645E5" w:rsidRPr="00851471" w:rsidRDefault="004C204A" w:rsidP="00A645E5">
      <w:pPr>
        <w:keepNext/>
        <w:keepLines/>
        <w:rPr>
          <w:rFonts w:cs="Arial"/>
          <w:b/>
          <w:bCs/>
          <w:sz w:val="16"/>
          <w:szCs w:val="16"/>
        </w:rPr>
      </w:pPr>
      <w:r>
        <w:rPr>
          <w:rFonts w:cs="Arial"/>
          <w:b/>
          <w:bCs/>
          <w:sz w:val="16"/>
          <w:szCs w:val="16"/>
        </w:rPr>
        <w:t>2</w:t>
      </w:r>
      <w:r w:rsidR="00814F88" w:rsidRPr="00851471">
        <w:rPr>
          <w:rFonts w:cs="Arial"/>
          <w:b/>
          <w:bCs/>
          <w:sz w:val="16"/>
          <w:szCs w:val="16"/>
        </w:rPr>
        <w:t>.</w:t>
      </w:r>
      <w:r w:rsidR="00E23301" w:rsidRPr="00851471">
        <w:rPr>
          <w:rFonts w:cs="Arial"/>
          <w:b/>
          <w:bCs/>
          <w:sz w:val="16"/>
          <w:szCs w:val="16"/>
        </w:rPr>
        <w:t>1</w:t>
      </w:r>
      <w:r w:rsidR="00814F88" w:rsidRPr="00851471">
        <w:rPr>
          <w:rFonts w:cs="Arial"/>
          <w:b/>
          <w:bCs/>
          <w:sz w:val="16"/>
          <w:szCs w:val="16"/>
        </w:rPr>
        <w:t xml:space="preserve">. </w:t>
      </w:r>
      <w:r w:rsidR="00A14907">
        <w:rPr>
          <w:rFonts w:cs="Arial"/>
          <w:b/>
          <w:bCs/>
          <w:sz w:val="16"/>
          <w:szCs w:val="16"/>
        </w:rPr>
        <w:t>Indice</w:t>
      </w:r>
      <w:r w:rsidR="00665D00">
        <w:rPr>
          <w:rFonts w:cs="Arial"/>
          <w:b/>
          <w:bCs/>
          <w:sz w:val="16"/>
          <w:szCs w:val="16"/>
        </w:rPr>
        <w:t>s</w:t>
      </w:r>
      <w:r w:rsidR="00A14907">
        <w:rPr>
          <w:rFonts w:cs="Arial"/>
          <w:b/>
          <w:bCs/>
          <w:sz w:val="16"/>
          <w:szCs w:val="16"/>
        </w:rPr>
        <w:t xml:space="preserve"> du p</w:t>
      </w:r>
      <w:r w:rsidR="00814F88" w:rsidRPr="00851471">
        <w:rPr>
          <w:rFonts w:cs="Arial"/>
          <w:b/>
          <w:bCs/>
          <w:sz w:val="16"/>
          <w:szCs w:val="16"/>
        </w:rPr>
        <w:t>rix des logements</w:t>
      </w:r>
      <w:r w:rsidR="00A02EF3">
        <w:rPr>
          <w:rFonts w:cs="Arial"/>
          <w:b/>
          <w:bCs/>
          <w:sz w:val="16"/>
          <w:szCs w:val="16"/>
        </w:rPr>
        <w:t xml:space="preserve"> en monnaie constante</w:t>
      </w:r>
      <w:r w:rsidR="00795E2D">
        <w:rPr>
          <w:rFonts w:cs="Arial"/>
          <w:b/>
          <w:bCs/>
          <w:sz w:val="16"/>
          <w:szCs w:val="16"/>
        </w:rPr>
        <w:t xml:space="preserve">                                                                           </w:t>
      </w:r>
      <w:r>
        <w:rPr>
          <w:rFonts w:cs="Arial"/>
          <w:b/>
          <w:bCs/>
          <w:sz w:val="16"/>
          <w:szCs w:val="16"/>
        </w:rPr>
        <w:t xml:space="preserve">   </w:t>
      </w:r>
      <w:r w:rsidR="00795E2D">
        <w:rPr>
          <w:rFonts w:cs="Arial"/>
          <w:b/>
          <w:bCs/>
          <w:sz w:val="16"/>
          <w:szCs w:val="16"/>
        </w:rPr>
        <w:t xml:space="preserve">  </w:t>
      </w:r>
      <w:r w:rsidR="00A645E5">
        <w:rPr>
          <w:rFonts w:cs="Arial"/>
          <w:b/>
          <w:bCs/>
          <w:sz w:val="16"/>
          <w:szCs w:val="16"/>
        </w:rPr>
        <w:t xml:space="preserve">   </w:t>
      </w:r>
      <w:r>
        <w:rPr>
          <w:rFonts w:cs="Arial"/>
          <w:b/>
          <w:bCs/>
          <w:sz w:val="16"/>
          <w:szCs w:val="16"/>
        </w:rPr>
        <w:t>2</w:t>
      </w:r>
      <w:r w:rsidR="00A645E5" w:rsidRPr="00851471">
        <w:rPr>
          <w:rFonts w:cs="Arial"/>
          <w:b/>
          <w:bCs/>
          <w:sz w:val="16"/>
          <w:szCs w:val="16"/>
        </w:rPr>
        <w:t>.2. Montant</w:t>
      </w:r>
      <w:r w:rsidR="00A645E5">
        <w:rPr>
          <w:rFonts w:cs="Arial"/>
          <w:b/>
          <w:bCs/>
          <w:sz w:val="16"/>
          <w:szCs w:val="16"/>
        </w:rPr>
        <w:t xml:space="preserve"> total</w:t>
      </w:r>
      <w:r w:rsidR="00A645E5" w:rsidRPr="00851471">
        <w:rPr>
          <w:rFonts w:cs="Arial"/>
          <w:b/>
          <w:bCs/>
          <w:sz w:val="16"/>
          <w:szCs w:val="16"/>
        </w:rPr>
        <w:t xml:space="preserve"> des </w:t>
      </w:r>
      <w:r w:rsidR="001D31A1">
        <w:rPr>
          <w:rFonts w:cs="Arial"/>
          <w:b/>
          <w:bCs/>
          <w:sz w:val="16"/>
          <w:szCs w:val="16"/>
        </w:rPr>
        <w:t>ventes</w:t>
      </w:r>
      <w:r w:rsidR="00A645E5" w:rsidRPr="00851471">
        <w:rPr>
          <w:rFonts w:cs="Arial"/>
          <w:b/>
          <w:bCs/>
          <w:sz w:val="16"/>
          <w:szCs w:val="16"/>
        </w:rPr>
        <w:t xml:space="preserve"> immobilières</w:t>
      </w:r>
      <w:r w:rsidR="00A645E5">
        <w:rPr>
          <w:rFonts w:cs="Arial"/>
          <w:b/>
          <w:bCs/>
          <w:sz w:val="16"/>
          <w:szCs w:val="16"/>
        </w:rPr>
        <w:t xml:space="preserve"> rapporté au produit intérieur brut</w:t>
      </w:r>
    </w:p>
    <w:p w14:paraId="2FD24B24" w14:textId="079BB5E0" w:rsidR="00A645E5" w:rsidRDefault="007F77FF" w:rsidP="00A14907">
      <w:pPr>
        <w:jc w:val="left"/>
        <w:rPr>
          <w:rFonts w:cs="Arial"/>
          <w:b/>
          <w:bCs/>
          <w:sz w:val="12"/>
          <w:szCs w:val="12"/>
        </w:rPr>
      </w:pPr>
      <w:r>
        <w:rPr>
          <w:rFonts w:cs="Arial"/>
          <w:b/>
          <w:bCs/>
          <w:noProof/>
          <w:sz w:val="12"/>
          <w:szCs w:val="12"/>
        </w:rPr>
        <mc:AlternateContent>
          <mc:Choice Requires="wpg">
            <w:drawing>
              <wp:anchor distT="0" distB="0" distL="114300" distR="114300" simplePos="0" relativeHeight="251656192" behindDoc="0" locked="0" layoutInCell="1" allowOverlap="1" wp14:anchorId="3F6F93F9" wp14:editId="067EBF69">
                <wp:simplePos x="0" y="0"/>
                <wp:positionH relativeFrom="column">
                  <wp:posOffset>2129514</wp:posOffset>
                </wp:positionH>
                <wp:positionV relativeFrom="paragraph">
                  <wp:posOffset>67779</wp:posOffset>
                </wp:positionV>
                <wp:extent cx="1391285" cy="6400800"/>
                <wp:effectExtent l="19050" t="0" r="18415" b="38100"/>
                <wp:wrapNone/>
                <wp:docPr id="2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6400800"/>
                          <a:chOff x="3525" y="724"/>
                          <a:chExt cx="2098" cy="10080"/>
                        </a:xfrm>
                      </wpg:grpSpPr>
                      <wps:wsp>
                        <wps:cNvPr id="27" name="Line 61"/>
                        <wps:cNvCnPr>
                          <a:cxnSpLocks noChangeShapeType="1"/>
                        </wps:cNvCnPr>
                        <wps:spPr bwMode="auto">
                          <a:xfrm>
                            <a:off x="386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8" name="Line 62"/>
                        <wps:cNvCnPr>
                          <a:cxnSpLocks noChangeShapeType="1"/>
                        </wps:cNvCnPr>
                        <wps:spPr bwMode="auto">
                          <a:xfrm>
                            <a:off x="530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9" name="Text Box 66"/>
                        <wps:cNvSpPr txBox="1">
                          <a:spLocks noChangeArrowheads="1"/>
                        </wps:cNvSpPr>
                        <wps:spPr bwMode="auto">
                          <a:xfrm>
                            <a:off x="3525" y="982"/>
                            <a:ext cx="623" cy="360"/>
                          </a:xfrm>
                          <a:prstGeom prst="rect">
                            <a:avLst/>
                          </a:prstGeom>
                          <a:solidFill>
                            <a:srgbClr val="FFFFFF"/>
                          </a:solidFill>
                          <a:ln w="38100">
                            <a:solidFill>
                              <a:srgbClr val="969696"/>
                            </a:solidFill>
                            <a:miter lim="800000"/>
                            <a:headEnd/>
                            <a:tailEnd/>
                          </a:ln>
                        </wps:spPr>
                        <wps:txbx>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wps:wsp>
                        <wps:cNvPr id="30" name="Text Box 67"/>
                        <wps:cNvSpPr txBox="1">
                          <a:spLocks noChangeArrowheads="1"/>
                        </wps:cNvSpPr>
                        <wps:spPr bwMode="auto">
                          <a:xfrm>
                            <a:off x="5000" y="995"/>
                            <a:ext cx="623" cy="360"/>
                          </a:xfrm>
                          <a:prstGeom prst="rect">
                            <a:avLst/>
                          </a:prstGeom>
                          <a:solidFill>
                            <a:srgbClr val="FFFFFF"/>
                          </a:solidFill>
                          <a:ln w="38100">
                            <a:solidFill>
                              <a:srgbClr val="969696"/>
                            </a:solidFill>
                            <a:miter lim="800000"/>
                            <a:headEnd/>
                            <a:tailEnd/>
                          </a:ln>
                        </wps:spPr>
                        <wps:txbx>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F93F9" id="Group 70" o:spid="_x0000_s1026" style="position:absolute;margin-left:167.7pt;margin-top:5.35pt;width:109.55pt;height:7in;z-index:251656192" coordorigin="3525,724" coordsize="2098,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">
                <v:line id="Line 61" o:spid="_x0000_s1027" style="position:absolute;visibility:visible;mso-wrap-style:square" from="3861,724" to="386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" strokecolor="#969696" strokeweight="5pt">
                  <v:stroke dashstyle="dashDot"/>
                </v:line>
                <v:line id="Line 62" o:spid="_x0000_s1028" style="position:absolute;visibility:visible;mso-wrap-style:square" from="5301,724" to="530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" strokecolor="#969696" strokeweight="5pt">
                  <v:stroke dashstyle="dashDot"/>
                </v:line>
                <v:shapetype id="_x0000_t202" coordsize="21600,21600" o:spt="202" path="m,l,21600r21600,l21600,xe">
                  <v:stroke joinstyle="miter"/>
                  <v:path gradientshapeok="t" o:connecttype="rect"/>
                </v:shapetype>
                <v:shape id="Text Box 66" o:spid="_x0000_s1029" type="#_x0000_t202" style="position:absolute;left:3525;top:982;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" strokecolor="#969696" strokeweight="3pt">
                  <v:textbox inset=".5mm,.3mm,.5mm,0">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v:textbox>
                </v:shape>
                <v:shape id="Text Box 67" o:spid="_x0000_s1030" type="#_x0000_t202" style="position:absolute;left:5000;top:995;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" strokecolor="#969696" strokeweight="3pt">
                  <v:textbox inset=".5mm,.3mm,.5mm,0">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v:textbox>
                </v:shape>
              </v:group>
            </w:pict>
          </mc:Fallback>
        </mc:AlternateContent>
      </w:r>
      <w:r w:rsidR="00835EDD">
        <w:rPr>
          <w:rFonts w:cs="Arial"/>
          <w:b/>
          <w:bCs/>
          <w:sz w:val="12"/>
          <w:szCs w:val="12"/>
        </w:rPr>
        <w:pict w14:anchorId="64C8D4E1">
          <v:shape id="_x0000_i1026" type="#_x0000_t75" style="width:396.8pt;height:243.15pt" o:bordertopcolor="this" o:borderleftcolor="this" o:borderbottomcolor="this" o:borderrightcolor="this">
            <v:imagedata r:id="rId28" o:title="" cropbottom="4205f" cropright="753f"/>
            <o:lock v:ext="edit" aspectratio="f"/>
            <w10:bordertop type="single" width="4"/>
            <w10:borderleft type="single" width="4"/>
            <w10:borderbottom type="single" width="4"/>
            <w10:borderright type="single" width="4"/>
          </v:shape>
        </w:pict>
      </w:r>
      <w:r w:rsidR="00830021">
        <w:rPr>
          <w:rFonts w:cs="Arial"/>
          <w:b/>
          <w:bCs/>
          <w:noProof/>
          <w:sz w:val="12"/>
          <w:szCs w:val="12"/>
        </w:rPr>
        <mc:AlternateContent>
          <mc:Choice Requires="wpg">
            <w:drawing>
              <wp:anchor distT="0" distB="0" distL="114300" distR="114300" simplePos="0" relativeHeight="251655168" behindDoc="0" locked="0" layoutInCell="1" allowOverlap="1" wp14:anchorId="7FB9823A" wp14:editId="6ED3B0D3">
                <wp:simplePos x="0" y="0"/>
                <wp:positionH relativeFrom="column">
                  <wp:posOffset>7490619</wp:posOffset>
                </wp:positionH>
                <wp:positionV relativeFrom="paragraph">
                  <wp:posOffset>71755</wp:posOffset>
                </wp:positionV>
                <wp:extent cx="916305" cy="6415088"/>
                <wp:effectExtent l="19050" t="0" r="36195" b="43180"/>
                <wp:wrapNone/>
                <wp:docPr id="2" name="Groupe 2"/>
                <wp:cNvGraphicFramePr/>
                <a:graphic xmlns:a="http://schemas.openxmlformats.org/drawingml/2006/main">
                  <a:graphicData uri="http://schemas.microsoft.com/office/word/2010/wordprocessingGroup">
                    <wpg:wgp>
                      <wpg:cNvGrpSpPr/>
                      <wpg:grpSpPr>
                        <a:xfrm>
                          <a:off x="0" y="0"/>
                          <a:ext cx="916305" cy="6415088"/>
                          <a:chOff x="0" y="0"/>
                          <a:chExt cx="933450" cy="6400800"/>
                        </a:xfrm>
                      </wpg:grpSpPr>
                      <wps:wsp>
                        <wps:cNvPr id="31" name="Line 63"/>
                        <wps:cNvCnPr>
                          <a:cxnSpLocks noChangeShapeType="1"/>
                        </wps:cNvCnPr>
                        <wps:spPr bwMode="auto">
                          <a:xfrm>
                            <a:off x="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32" name="Line 64"/>
                        <wps:cNvCnPr>
                          <a:cxnSpLocks noChangeShapeType="1"/>
                        </wps:cNvCnPr>
                        <wps:spPr bwMode="auto">
                          <a:xfrm>
                            <a:off x="93345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5C78488" id="Groupe 2" o:spid="_x0000_s1026" style="position:absolute;margin-left:589.8pt;margin-top:5.65pt;width:72.15pt;height:505.15pt;z-index:251655168;mso-width-relative:margin;mso-height-relative:margin" coordsize="9334,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">
                <v:line id="Line 63" o:spid="_x0000_s1027" style="position:absolute;visibility:visible;mso-wrap-style:square" from="0,0" to="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" strokecolor="#969696" strokeweight="5pt">
                  <v:stroke dashstyle="dashDot"/>
                </v:line>
                <v:line id="Line 64" o:spid="_x0000_s1028" style="position:absolute;visibility:visible;mso-wrap-style:square" from="9334,0" to="93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" strokecolor="#969696" strokeweight="5pt">
                  <v:stroke dashstyle="dashDot"/>
                </v:line>
              </v:group>
            </w:pict>
          </mc:Fallback>
        </mc:AlternateContent>
      </w:r>
      <w:r w:rsidR="00830021">
        <w:rPr>
          <w:rFonts w:cs="Arial"/>
          <w:b/>
          <w:bCs/>
          <w:noProof/>
          <w:sz w:val="16"/>
          <w:szCs w:val="16"/>
        </w:rPr>
        <mc:AlternateContent>
          <mc:Choice Requires="wps">
            <w:drawing>
              <wp:anchor distT="0" distB="0" distL="114300" distR="114300" simplePos="0" relativeHeight="251658240" behindDoc="0" locked="0" layoutInCell="1" allowOverlap="1" wp14:anchorId="470880CD" wp14:editId="117F6D3A">
                <wp:simplePos x="0" y="0"/>
                <wp:positionH relativeFrom="column">
                  <wp:posOffset>8204518</wp:posOffset>
                </wp:positionH>
                <wp:positionV relativeFrom="paragraph">
                  <wp:posOffset>36830</wp:posOffset>
                </wp:positionV>
                <wp:extent cx="412750" cy="228600"/>
                <wp:effectExtent l="20955" t="22225" r="23495" b="2540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80CD" id="Text Box 69" o:spid="_x0000_s1031" type="#_x0000_t202" style="position:absolute;margin-left:646.05pt;margin-top:2.9pt;width:32.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" strokecolor="#969696" strokeweight="3pt">
                <v:textbox inset=".5mm,.3mm,.5mm,0">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v:textbox>
              </v:shape>
            </w:pict>
          </mc:Fallback>
        </mc:AlternateContent>
      </w:r>
      <w:r w:rsidR="00FF0C28">
        <w:rPr>
          <w:rFonts w:cs="Arial"/>
          <w:b/>
          <w:bCs/>
          <w:noProof/>
          <w:sz w:val="16"/>
          <w:szCs w:val="16"/>
        </w:rPr>
        <mc:AlternateContent>
          <mc:Choice Requires="wps">
            <w:drawing>
              <wp:anchor distT="0" distB="0" distL="114300" distR="114300" simplePos="0" relativeHeight="251657216" behindDoc="0" locked="0" layoutInCell="1" allowOverlap="1" wp14:anchorId="4AF8B416" wp14:editId="42218CAE">
                <wp:simplePos x="0" y="0"/>
                <wp:positionH relativeFrom="column">
                  <wp:posOffset>7304405</wp:posOffset>
                </wp:positionH>
                <wp:positionV relativeFrom="paragraph">
                  <wp:posOffset>35560</wp:posOffset>
                </wp:positionV>
                <wp:extent cx="412750" cy="228600"/>
                <wp:effectExtent l="20955" t="20955" r="23495" b="2667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B416" id="Text Box 68" o:spid="_x0000_s1032" type="#_x0000_t202" style="position:absolute;margin-left:575.15pt;margin-top:2.8pt;width:32.5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" strokecolor="#969696" strokeweight="3pt">
                <v:textbox inset=".5mm,.3mm,.5mm,0">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v:textbox>
              </v:shape>
            </w:pict>
          </mc:Fallback>
        </mc:AlternateContent>
      </w:r>
      <w:r w:rsidR="00696030" w:rsidRPr="00EA6557">
        <w:rPr>
          <w:rFonts w:cs="Arial"/>
          <w:b/>
          <w:bCs/>
          <w:sz w:val="12"/>
          <w:szCs w:val="12"/>
        </w:rPr>
        <w:t xml:space="preserve"> </w:t>
      </w:r>
      <w:r w:rsidR="00F80105">
        <w:rPr>
          <w:rFonts w:cs="Arial"/>
          <w:b/>
          <w:bCs/>
          <w:sz w:val="12"/>
          <w:szCs w:val="12"/>
        </w:rPr>
        <w:t xml:space="preserve"> </w:t>
      </w:r>
      <w:r w:rsidR="00835EDD">
        <w:rPr>
          <w:rFonts w:cs="Arial"/>
          <w:b/>
          <w:bCs/>
          <w:sz w:val="12"/>
          <w:szCs w:val="12"/>
        </w:rPr>
        <w:pict w14:anchorId="38AE7806">
          <v:shape id="_x0000_i1027" type="#_x0000_t75" style="width:395.95pt;height:243.15pt" o:bordertopcolor="this" o:borderleftcolor="this" o:borderbottomcolor="this" o:borderrightcolor="this">
            <v:imagedata r:id="rId29" o:title="" croptop="3822f"/>
            <w10:bordertop type="single" width="4"/>
            <w10:borderleft type="single" width="4"/>
            <w10:borderbottom type="single" width="4"/>
            <w10:borderright type="single" width="4"/>
          </v:shape>
        </w:pict>
      </w:r>
    </w:p>
    <w:p w14:paraId="31996172" w14:textId="0FCCF942" w:rsidR="00A645E5" w:rsidRDefault="00A645E5" w:rsidP="000774FD">
      <w:pPr>
        <w:keepNext/>
        <w:keepLines/>
        <w:jc w:val="left"/>
        <w:rPr>
          <w:sz w:val="12"/>
          <w:szCs w:val="12"/>
        </w:rPr>
      </w:pPr>
      <w:r w:rsidRPr="007358F9">
        <w:rPr>
          <w:rFonts w:cs="Arial"/>
          <w:sz w:val="12"/>
          <w:szCs w:val="12"/>
        </w:rPr>
        <w:t xml:space="preserve">Source : </w:t>
      </w:r>
      <w:hyperlink r:id="rId30" w:history="1">
        <w:r w:rsidR="002345A7" w:rsidRPr="00A655FA">
          <w:rPr>
            <w:rStyle w:val="Lienhypertexte"/>
            <w:rFonts w:cs="Arial"/>
            <w:color w:val="0000FF"/>
            <w:sz w:val="12"/>
            <w:szCs w:val="12"/>
            <w:u w:val="single"/>
          </w:rPr>
          <w:t>CGEDD</w:t>
        </w:r>
      </w:hyperlink>
      <w:r w:rsidRPr="007358F9">
        <w:rPr>
          <w:sz w:val="12"/>
          <w:szCs w:val="12"/>
        </w:rPr>
        <w:t xml:space="preserve"> d'après INSEE, bases de données notariales, indices Notaires-INSEE désaisonnalisés, Duon, Toutain et Villa (CEPII)</w:t>
      </w:r>
      <w:r w:rsidRPr="007358F9">
        <w:rPr>
          <w:rFonts w:cs="Arial"/>
          <w:sz w:val="12"/>
          <w:szCs w:val="12"/>
        </w:rPr>
        <w:t xml:space="preserve">. </w:t>
      </w:r>
      <w:r w:rsidR="005B639D">
        <w:rPr>
          <w:rFonts w:cs="Arial"/>
          <w:sz w:val="12"/>
          <w:szCs w:val="12"/>
        </w:rPr>
        <w:t xml:space="preserve">Cf. </w:t>
      </w:r>
      <w:r w:rsidR="003E015A">
        <w:rPr>
          <w:rFonts w:cs="Arial"/>
          <w:sz w:val="12"/>
          <w:szCs w:val="12"/>
        </w:rPr>
        <w:t>[3]</w:t>
      </w:r>
      <w:r w:rsidR="005B639D">
        <w:rPr>
          <w:rFonts w:cs="Arial"/>
          <w:sz w:val="12"/>
          <w:szCs w:val="12"/>
        </w:rPr>
        <w:t xml:space="preserve"> et </w:t>
      </w:r>
      <w:r w:rsidR="003E015A">
        <w:rPr>
          <w:rFonts w:cs="Arial"/>
          <w:sz w:val="12"/>
          <w:szCs w:val="12"/>
        </w:rPr>
        <w:t>[6]</w:t>
      </w:r>
      <w:r w:rsidR="005B639D">
        <w:rPr>
          <w:rFonts w:cs="Arial"/>
          <w:sz w:val="12"/>
          <w:szCs w:val="12"/>
        </w:rPr>
        <w:t xml:space="preserve"> </w:t>
      </w:r>
      <w:r w:rsidR="00B21E21">
        <w:rPr>
          <w:rFonts w:cs="Arial"/>
          <w:sz w:val="12"/>
          <w:szCs w:val="12"/>
        </w:rPr>
        <w:t xml:space="preserve">   </w:t>
      </w:r>
      <w:r w:rsidR="00A655FA">
        <w:rPr>
          <w:rFonts w:cs="Arial"/>
          <w:sz w:val="12"/>
          <w:szCs w:val="12"/>
        </w:rPr>
        <w:t>Source</w:t>
      </w:r>
      <w:r w:rsidR="00A655FA" w:rsidRPr="007358F9">
        <w:rPr>
          <w:rFonts w:cs="Arial"/>
          <w:sz w:val="12"/>
          <w:szCs w:val="12"/>
        </w:rPr>
        <w:t xml:space="preserve">: </w:t>
      </w:r>
      <w:hyperlink r:id="rId31" w:history="1">
        <w:r w:rsidR="00A655FA" w:rsidRPr="00A655FA">
          <w:rPr>
            <w:rStyle w:val="Lienhypertexte"/>
            <w:rFonts w:cs="Arial"/>
            <w:color w:val="0000FF"/>
            <w:sz w:val="12"/>
            <w:szCs w:val="12"/>
            <w:u w:val="single"/>
          </w:rPr>
          <w:t>CGEDD</w:t>
        </w:r>
      </w:hyperlink>
      <w:r w:rsidRPr="007358F9">
        <w:rPr>
          <w:rFonts w:cs="Arial"/>
          <w:sz w:val="12"/>
          <w:szCs w:val="12"/>
        </w:rPr>
        <w:t xml:space="preserve"> d’après </w:t>
      </w:r>
      <w:r w:rsidR="002345A7" w:rsidRPr="007358F9">
        <w:rPr>
          <w:rFonts w:cs="Arial"/>
          <w:sz w:val="12"/>
          <w:szCs w:val="12"/>
        </w:rPr>
        <w:t>DGFIP</w:t>
      </w:r>
      <w:r w:rsidRPr="007358F9">
        <w:rPr>
          <w:rFonts w:cs="Arial"/>
          <w:sz w:val="12"/>
          <w:szCs w:val="12"/>
        </w:rPr>
        <w:t>, Toutain et INSEE</w:t>
      </w:r>
      <w:r w:rsidR="0069655E">
        <w:rPr>
          <w:rFonts w:cs="Arial"/>
          <w:sz w:val="12"/>
          <w:szCs w:val="12"/>
        </w:rPr>
        <w:t>.</w:t>
      </w:r>
      <w:r w:rsidR="001B1E64">
        <w:rPr>
          <w:rFonts w:cs="Arial"/>
          <w:sz w:val="12"/>
          <w:szCs w:val="12"/>
        </w:rPr>
        <w:t xml:space="preserve"> </w:t>
      </w:r>
      <w:r w:rsidR="006C2FBC">
        <w:rPr>
          <w:rFonts w:cs="Arial"/>
          <w:sz w:val="12"/>
          <w:szCs w:val="12"/>
        </w:rPr>
        <w:t xml:space="preserve"> Par exception, l</w:t>
      </w:r>
      <w:r w:rsidR="006A7B57">
        <w:rPr>
          <w:rFonts w:cs="Arial"/>
          <w:sz w:val="12"/>
          <w:szCs w:val="12"/>
        </w:rPr>
        <w:t xml:space="preserve">e </w:t>
      </w:r>
      <w:r w:rsidR="00BE7B4D">
        <w:rPr>
          <w:rFonts w:cs="Arial"/>
          <w:sz w:val="12"/>
          <w:szCs w:val="12"/>
        </w:rPr>
        <w:t>régime dérogatoire</w:t>
      </w:r>
      <w:r w:rsidR="006A7B57">
        <w:rPr>
          <w:rFonts w:cs="Arial"/>
          <w:sz w:val="12"/>
          <w:szCs w:val="12"/>
        </w:rPr>
        <w:t xml:space="preserve"> inclut certaines mutations à titre gratuit.</w:t>
      </w:r>
      <w:r w:rsidR="001B1E64">
        <w:rPr>
          <w:rFonts w:cs="Arial"/>
          <w:sz w:val="12"/>
          <w:szCs w:val="12"/>
        </w:rPr>
        <w:t xml:space="preserve"> Cf. </w:t>
      </w:r>
      <w:r w:rsidR="003E015A">
        <w:rPr>
          <w:rFonts w:cs="Arial"/>
          <w:sz w:val="12"/>
          <w:szCs w:val="12"/>
        </w:rPr>
        <w:t>[13]</w:t>
      </w:r>
      <w:r w:rsidR="00BE7B4D">
        <w:rPr>
          <w:rFonts w:cs="Arial"/>
          <w:sz w:val="12"/>
          <w:szCs w:val="12"/>
        </w:rPr>
        <w:t xml:space="preserve"> et </w:t>
      </w:r>
      <w:r w:rsidR="003E015A">
        <w:rPr>
          <w:rFonts w:cs="Arial"/>
          <w:sz w:val="12"/>
          <w:szCs w:val="12"/>
        </w:rPr>
        <w:t>[16]</w:t>
      </w:r>
      <w:r w:rsidR="00BE7B4D">
        <w:rPr>
          <w:rFonts w:cs="Arial"/>
          <w:sz w:val="12"/>
          <w:szCs w:val="12"/>
        </w:rPr>
        <w:t>.</w:t>
      </w:r>
    </w:p>
    <w:p w14:paraId="643C232F" w14:textId="77777777" w:rsidR="00EA7499" w:rsidRPr="00A645E5" w:rsidRDefault="004C204A" w:rsidP="00EA7499">
      <w:pPr>
        <w:rPr>
          <w:rFonts w:cs="Arial"/>
          <w:b/>
          <w:bCs/>
        </w:rPr>
      </w:pPr>
      <w:r>
        <w:rPr>
          <w:rFonts w:cs="Arial"/>
          <w:b/>
          <w:bCs/>
          <w:sz w:val="16"/>
          <w:szCs w:val="16"/>
        </w:rPr>
        <w:t>2</w:t>
      </w:r>
      <w:r w:rsidR="00EA7499" w:rsidRPr="00EE2DFF">
        <w:rPr>
          <w:rFonts w:cs="Arial"/>
          <w:b/>
          <w:bCs/>
          <w:sz w:val="16"/>
          <w:szCs w:val="16"/>
        </w:rPr>
        <w:t>.3. Placement en actions</w:t>
      </w:r>
      <w:r w:rsidR="00EA7499">
        <w:rPr>
          <w:rFonts w:cs="Arial"/>
          <w:b/>
          <w:bCs/>
          <w:sz w:val="16"/>
          <w:szCs w:val="16"/>
        </w:rPr>
        <w:t xml:space="preserve"> rapporté à la tendance longue</w:t>
      </w:r>
      <w:r w:rsidR="00EA7499" w:rsidRPr="00EE2DFF">
        <w:rPr>
          <w:rFonts w:cs="Arial"/>
          <w:b/>
          <w:bCs/>
          <w:sz w:val="16"/>
          <w:szCs w:val="16"/>
        </w:rPr>
        <w:t xml:space="preserve"> </w:t>
      </w:r>
      <w:r w:rsidR="00EA7499">
        <w:rPr>
          <w:rFonts w:cs="Arial"/>
          <w:sz w:val="16"/>
          <w:szCs w:val="16"/>
        </w:rPr>
        <w:t>(**</w:t>
      </w:r>
      <w:r w:rsidR="00EA7499" w:rsidRPr="00EE2DFF">
        <w:rPr>
          <w:rFonts w:cs="Arial"/>
          <w:sz w:val="16"/>
          <w:szCs w:val="16"/>
        </w:rPr>
        <w:t>)</w:t>
      </w:r>
      <w:r w:rsidR="00B24A73">
        <w:rPr>
          <w:rFonts w:cs="Arial"/>
          <w:sz w:val="16"/>
          <w:szCs w:val="16"/>
        </w:rPr>
        <w:t xml:space="preserve">   </w:t>
      </w:r>
      <w:r w:rsidR="00EA7499">
        <w:rPr>
          <w:rFonts w:cs="Arial"/>
          <w:b/>
          <w:bCs/>
          <w:sz w:val="16"/>
          <w:szCs w:val="16"/>
        </w:rPr>
        <w:t xml:space="preserve">                                                                        </w:t>
      </w:r>
      <w:r>
        <w:rPr>
          <w:rFonts w:cs="Arial"/>
          <w:b/>
          <w:bCs/>
          <w:sz w:val="16"/>
          <w:szCs w:val="16"/>
        </w:rPr>
        <w:t xml:space="preserve">   2</w:t>
      </w:r>
      <w:r w:rsidR="00EA7499" w:rsidRPr="00851471">
        <w:rPr>
          <w:rFonts w:cs="Arial"/>
          <w:b/>
          <w:bCs/>
          <w:sz w:val="16"/>
          <w:szCs w:val="16"/>
        </w:rPr>
        <w:t>.4. Inflation et tau</w:t>
      </w:r>
      <w:r w:rsidR="00EA7499">
        <w:rPr>
          <w:rFonts w:cs="Arial"/>
          <w:b/>
          <w:bCs/>
          <w:sz w:val="16"/>
          <w:szCs w:val="16"/>
        </w:rPr>
        <w:t>x d’intérêt à long terme</w:t>
      </w:r>
      <w:r w:rsidR="00EA7499" w:rsidRPr="00F0331F">
        <w:rPr>
          <w:bCs/>
          <w:color w:val="FFFFFF"/>
          <w:sz w:val="2"/>
          <w:szCs w:val="2"/>
        </w:rPr>
        <w:t xml:space="preserve"> </w:t>
      </w:r>
    </w:p>
    <w:p w14:paraId="721EBAEE" w14:textId="28EB750D" w:rsidR="00A645E5" w:rsidRPr="00BB31F0" w:rsidRDefault="00835EDD" w:rsidP="00EA6557">
      <w:pPr>
        <w:widowControl w:val="0"/>
        <w:jc w:val="left"/>
        <w:rPr>
          <w:rFonts w:cs="Arial"/>
          <w:sz w:val="12"/>
          <w:szCs w:val="12"/>
        </w:rPr>
      </w:pPr>
      <w:r>
        <w:rPr>
          <w:rFonts w:cs="Arial"/>
          <w:sz w:val="12"/>
          <w:szCs w:val="12"/>
        </w:rPr>
        <w:pict w14:anchorId="66FD9289">
          <v:shape id="_x0000_i1028" type="#_x0000_t75" style="width:400.25pt;height:261.3pt" o:bordertopcolor="this" o:borderleftcolor="this" o:borderbottomcolor="this" o:borderrightcolor="this">
            <v:imagedata r:id="rId32" o:title="" cropbottom="382f" cropright="502f"/>
            <o:lock v:ext="edit" aspectratio="f"/>
            <w10:bordertop type="single" width="4"/>
            <w10:borderleft type="single" width="4"/>
            <w10:borderbottom type="single" width="4"/>
            <w10:borderright type="single" width="4"/>
          </v:shape>
        </w:pict>
      </w:r>
      <w:r w:rsidR="00C26978" w:rsidRPr="00BB31F0">
        <w:rPr>
          <w:rFonts w:cs="Arial"/>
          <w:sz w:val="12"/>
          <w:szCs w:val="12"/>
        </w:rPr>
        <w:t xml:space="preserve"> </w:t>
      </w:r>
      <w:r>
        <w:rPr>
          <w:rFonts w:cs="Arial"/>
          <w:sz w:val="12"/>
          <w:szCs w:val="12"/>
        </w:rPr>
        <w:pict w14:anchorId="3EE4A6FF">
          <v:shape id="_x0000_i1029" type="#_x0000_t75" style="width:399.4pt;height:261.3pt" o:bordertopcolor="this" o:borderleftcolor="this" o:borderbottomcolor="this" o:borderrightcolor="this">
            <v:imagedata r:id="rId33" o:title="" cropleft="1004f" cropright="-1004f"/>
            <o:lock v:ext="edit" aspectratio="f"/>
            <w10:bordertop type="single" width="4"/>
            <w10:borderleft type="single" width="4"/>
            <w10:borderbottom type="single" width="4"/>
            <w10:borderright type="single" width="4"/>
          </v:shape>
        </w:pict>
      </w:r>
    </w:p>
    <w:p w14:paraId="1FF63C24" w14:textId="188D2E69" w:rsidR="00A645E5" w:rsidRPr="004C69A6" w:rsidRDefault="00A645E5" w:rsidP="00A14907">
      <w:pPr>
        <w:widowControl w:val="0"/>
        <w:rPr>
          <w:rFonts w:cs="Arial"/>
          <w:sz w:val="12"/>
          <w:szCs w:val="12"/>
        </w:rPr>
      </w:pPr>
      <w:r w:rsidRPr="004B18FF">
        <w:rPr>
          <w:rFonts w:cs="Arial"/>
          <w:sz w:val="12"/>
          <w:szCs w:val="12"/>
          <w:lang w:val="en-US"/>
        </w:rPr>
        <w:t xml:space="preserve">Source: </w:t>
      </w:r>
      <w:hyperlink r:id="rId34" w:history="1">
        <w:r w:rsidR="00A655FA" w:rsidRPr="004B18FF">
          <w:rPr>
            <w:rStyle w:val="Lienhypertexte"/>
            <w:rFonts w:cs="Arial"/>
            <w:color w:val="0000FF"/>
            <w:sz w:val="12"/>
            <w:szCs w:val="12"/>
            <w:u w:val="single"/>
            <w:lang w:val="en-US"/>
          </w:rPr>
          <w:t>CGEDD</w:t>
        </w:r>
      </w:hyperlink>
      <w:r w:rsidRPr="004B18FF">
        <w:rPr>
          <w:rFonts w:cs="Arial"/>
          <w:sz w:val="12"/>
          <w:szCs w:val="12"/>
          <w:lang w:val="en-US"/>
        </w:rPr>
        <w:t xml:space="preserve"> d’après Arbulu, Schwert, Shiller, EuroNext, S&amp;P, Chabert, Lévy-Leboyer, INSEE, STAT-USA et US Department of Labor. </w:t>
      </w:r>
      <w:r w:rsidR="000A4240" w:rsidRPr="004B18FF">
        <w:rPr>
          <w:rFonts w:cs="Arial"/>
          <w:sz w:val="12"/>
          <w:szCs w:val="12"/>
          <w:lang w:val="en-US"/>
        </w:rPr>
        <w:t xml:space="preserve">          </w:t>
      </w:r>
      <w:r w:rsidR="00A14907" w:rsidRPr="004B18FF">
        <w:rPr>
          <w:rFonts w:cs="Arial"/>
          <w:sz w:val="12"/>
          <w:szCs w:val="12"/>
          <w:lang w:val="en-US"/>
        </w:rPr>
        <w:t xml:space="preserve"> </w:t>
      </w:r>
      <w:r w:rsidR="002345A7" w:rsidRPr="004B18FF">
        <w:rPr>
          <w:rFonts w:cs="Arial"/>
          <w:sz w:val="12"/>
          <w:szCs w:val="12"/>
          <w:lang w:val="en-US"/>
        </w:rPr>
        <w:t xml:space="preserve"> </w:t>
      </w:r>
      <w:r w:rsidR="009C7757" w:rsidRPr="004B18FF">
        <w:rPr>
          <w:rFonts w:cs="Arial"/>
          <w:sz w:val="12"/>
          <w:szCs w:val="12"/>
          <w:lang w:val="en-US"/>
        </w:rPr>
        <w:t xml:space="preserve"> </w:t>
      </w:r>
      <w:r w:rsidR="00B21E21" w:rsidRPr="004B18FF">
        <w:rPr>
          <w:rFonts w:cs="Arial"/>
          <w:sz w:val="12"/>
          <w:szCs w:val="12"/>
          <w:lang w:val="en-US"/>
        </w:rPr>
        <w:t xml:space="preserve"> </w:t>
      </w:r>
      <w:r w:rsidR="009C7757" w:rsidRPr="004B18FF">
        <w:rPr>
          <w:rFonts w:cs="Arial"/>
          <w:sz w:val="12"/>
          <w:szCs w:val="12"/>
          <w:lang w:val="en-US"/>
        </w:rPr>
        <w:t xml:space="preserve"> </w:t>
      </w:r>
      <w:r w:rsidR="002345A7" w:rsidRPr="004B18FF">
        <w:rPr>
          <w:rFonts w:cs="Arial"/>
          <w:sz w:val="12"/>
          <w:szCs w:val="12"/>
          <w:lang w:val="en-US"/>
        </w:rPr>
        <w:t xml:space="preserve"> </w:t>
      </w:r>
      <w:r w:rsidR="000A4240" w:rsidRPr="004B18FF">
        <w:rPr>
          <w:rFonts w:cs="Arial"/>
          <w:sz w:val="12"/>
          <w:szCs w:val="12"/>
          <w:lang w:val="en-US"/>
        </w:rPr>
        <w:t xml:space="preserve">  </w:t>
      </w:r>
      <w:r w:rsidR="000A4240" w:rsidRPr="004C69A6">
        <w:rPr>
          <w:rFonts w:cs="Arial"/>
          <w:sz w:val="12"/>
          <w:szCs w:val="12"/>
        </w:rPr>
        <w:t xml:space="preserve">Source : </w:t>
      </w:r>
      <w:hyperlink r:id="rId35" w:history="1">
        <w:r w:rsidR="00A655FA" w:rsidRPr="00A655FA">
          <w:rPr>
            <w:rStyle w:val="Lienhypertexte"/>
            <w:rFonts w:cs="Arial"/>
            <w:color w:val="0000FF"/>
            <w:sz w:val="12"/>
            <w:szCs w:val="12"/>
            <w:u w:val="single"/>
          </w:rPr>
          <w:t>CGEDD</w:t>
        </w:r>
      </w:hyperlink>
      <w:r w:rsidR="004C69A6" w:rsidRPr="004C69A6">
        <w:rPr>
          <w:rFonts w:cs="Arial"/>
          <w:sz w:val="12"/>
          <w:szCs w:val="12"/>
        </w:rPr>
        <w:t xml:space="preserve"> d’après Vaslin, Loutchitch, Banque de France</w:t>
      </w:r>
      <w:r w:rsidR="000A4240" w:rsidRPr="004C69A6">
        <w:rPr>
          <w:rFonts w:cs="Arial"/>
          <w:sz w:val="12"/>
          <w:szCs w:val="12"/>
        </w:rPr>
        <w:t xml:space="preserve"> (TMO puis TME), Chabert, Lévy-Leboyer et INSEE.</w:t>
      </w:r>
    </w:p>
    <w:p w14:paraId="7151B947" w14:textId="48681087" w:rsidR="004C2745" w:rsidRDefault="00696030" w:rsidP="004C2745">
      <w:pPr>
        <w:widowControl w:val="0"/>
        <w:jc w:val="left"/>
        <w:rPr>
          <w:rFonts w:cs="Arial"/>
          <w:sz w:val="16"/>
          <w:szCs w:val="16"/>
        </w:rPr>
      </w:pPr>
      <w:r>
        <w:rPr>
          <w:rFonts w:cs="Arial"/>
          <w:sz w:val="16"/>
          <w:szCs w:val="16"/>
        </w:rPr>
        <w:t>(*</w:t>
      </w:r>
      <w:r w:rsidR="00C60042">
        <w:rPr>
          <w:rFonts w:cs="Arial"/>
          <w:sz w:val="16"/>
          <w:szCs w:val="16"/>
        </w:rPr>
        <w:t>*</w:t>
      </w:r>
      <w:r>
        <w:rPr>
          <w:rFonts w:cs="Arial"/>
          <w:sz w:val="16"/>
          <w:szCs w:val="16"/>
        </w:rPr>
        <w:t xml:space="preserve">) </w:t>
      </w:r>
      <w:r w:rsidR="00A14907">
        <w:rPr>
          <w:rFonts w:cs="Arial"/>
          <w:sz w:val="16"/>
          <w:szCs w:val="16"/>
        </w:rPr>
        <w:t>Depuis 1802, la valeur d’un placement en actions américaines serpente autour d’une tendance longue croissant de 6,</w:t>
      </w:r>
      <w:r w:rsidR="006D42D5">
        <w:rPr>
          <w:rFonts w:cs="Arial"/>
          <w:sz w:val="16"/>
          <w:szCs w:val="16"/>
        </w:rPr>
        <w:t>5</w:t>
      </w:r>
      <w:r w:rsidR="00A14907">
        <w:rPr>
          <w:rFonts w:cs="Arial"/>
          <w:sz w:val="16"/>
          <w:szCs w:val="16"/>
        </w:rPr>
        <w:t>% par an plus l’inflation.  Au 19</w:t>
      </w:r>
      <w:r w:rsidR="00A14907" w:rsidRPr="00C56B43">
        <w:rPr>
          <w:rFonts w:cs="Arial"/>
          <w:sz w:val="16"/>
          <w:szCs w:val="16"/>
          <w:vertAlign w:val="superscript"/>
        </w:rPr>
        <w:t>e</w:t>
      </w:r>
      <w:r w:rsidR="00A14907">
        <w:rPr>
          <w:rFonts w:cs="Arial"/>
          <w:sz w:val="16"/>
          <w:szCs w:val="16"/>
        </w:rPr>
        <w:t xml:space="preserve"> siècle, la valeur d’un placement en actions françaises serpentait autour d’une tendance longue parallèle; de 1914 à 1965, elle a fortement diminué par rapport à cette tendance longue; depuis 1965, elle serpente autour de la même tendance longue que les actions américaines.</w:t>
      </w:r>
      <w:r w:rsidR="00442F21">
        <w:rPr>
          <w:rFonts w:cs="Arial"/>
          <w:sz w:val="16"/>
          <w:szCs w:val="16"/>
        </w:rPr>
        <w:t xml:space="preserve"> </w:t>
      </w:r>
      <w:r w:rsidR="00442F21" w:rsidRPr="007F6129">
        <w:rPr>
          <w:rFonts w:cs="Arial"/>
          <w:sz w:val="16"/>
          <w:szCs w:val="16"/>
        </w:rPr>
        <w:t>Cf.</w:t>
      </w:r>
      <w:r w:rsidR="00717135">
        <w:rPr>
          <w:rFonts w:cs="Arial"/>
          <w:sz w:val="16"/>
          <w:szCs w:val="16"/>
        </w:rPr>
        <w:t xml:space="preserve"> § 1.4. de </w:t>
      </w:r>
      <w:r w:rsidR="003E015A">
        <w:rPr>
          <w:rFonts w:cs="Arial"/>
          <w:sz w:val="16"/>
          <w:szCs w:val="16"/>
        </w:rPr>
        <w:t>[3]</w:t>
      </w:r>
      <w:r w:rsidR="003B451B">
        <w:rPr>
          <w:rFonts w:cs="Arial"/>
          <w:sz w:val="16"/>
          <w:szCs w:val="16"/>
        </w:rPr>
        <w:t xml:space="preserve"> et </w:t>
      </w:r>
      <w:r w:rsidR="003E015A">
        <w:rPr>
          <w:rFonts w:cs="Arial"/>
          <w:sz w:val="16"/>
          <w:szCs w:val="16"/>
        </w:rPr>
        <w:t>[1]</w:t>
      </w:r>
      <w:r w:rsidR="00B334BE" w:rsidRPr="007E69B1">
        <w:rPr>
          <w:rFonts w:cs="Arial"/>
          <w:sz w:val="16"/>
          <w:szCs w:val="16"/>
        </w:rPr>
        <w:t>.</w:t>
      </w:r>
      <w:r w:rsidR="004C2745">
        <w:rPr>
          <w:rFonts w:cs="Arial"/>
          <w:sz w:val="16"/>
          <w:szCs w:val="16"/>
        </w:rPr>
        <w:br w:type="page"/>
      </w:r>
    </w:p>
    <w:p w14:paraId="446DF856" w14:textId="5A379C1B" w:rsidR="00D543BF" w:rsidRPr="004C2745" w:rsidRDefault="00E529E3" w:rsidP="00E529E3">
      <w:pPr>
        <w:widowControl w:val="0"/>
        <w:jc w:val="left"/>
        <w:rPr>
          <w:rFonts w:cs="Arial"/>
          <w:sz w:val="16"/>
          <w:szCs w:val="16"/>
        </w:rPr>
      </w:pPr>
      <w:r>
        <w:rPr>
          <w:rFonts w:cs="Arial"/>
          <w:b/>
          <w:bCs/>
        </w:rPr>
        <w:lastRenderedPageBreak/>
        <w:t>3. Depuis 1965 : p</w:t>
      </w:r>
      <w:r w:rsidRPr="0051768B">
        <w:rPr>
          <w:rFonts w:cs="Arial"/>
          <w:b/>
          <w:bCs/>
        </w:rPr>
        <w:t>rix des logements</w:t>
      </w:r>
      <w:r>
        <w:rPr>
          <w:rFonts w:cs="Arial"/>
          <w:b/>
          <w:bCs/>
        </w:rPr>
        <w:t>,</w:t>
      </w:r>
      <w:r w:rsidRPr="0051768B">
        <w:rPr>
          <w:rFonts w:cs="Arial"/>
          <w:b/>
          <w:bCs/>
        </w:rPr>
        <w:t xml:space="preserve"> </w:t>
      </w:r>
      <w:r>
        <w:rPr>
          <w:rFonts w:cs="Arial"/>
          <w:b/>
          <w:bCs/>
        </w:rPr>
        <w:t xml:space="preserve">loyers </w:t>
      </w:r>
      <w:r w:rsidRPr="0051768B">
        <w:rPr>
          <w:rFonts w:cs="Arial"/>
          <w:b/>
          <w:bCs/>
        </w:rPr>
        <w:t>et conditions de financement</w:t>
      </w:r>
      <w:r>
        <w:rPr>
          <w:rFonts w:cs="Arial"/>
          <w:b/>
          <w:bCs/>
        </w:rPr>
        <w:t xml:space="preserve">                                                                                                                                                          </w:t>
      </w:r>
      <w:r w:rsidRPr="00D870CF">
        <w:rPr>
          <w:rFonts w:cs="Arial"/>
          <w:bCs/>
          <w:sz w:val="18"/>
        </w:rPr>
        <w:t xml:space="preserve">Page </w:t>
      </w:r>
      <w:r>
        <w:rPr>
          <w:rFonts w:cs="Arial"/>
          <w:bCs/>
          <w:sz w:val="18"/>
        </w:rPr>
        <w:t>3</w:t>
      </w:r>
    </w:p>
    <w:p w14:paraId="769E57E7" w14:textId="157680BD" w:rsidR="00C20523" w:rsidRPr="00C20523" w:rsidRDefault="004C204A" w:rsidP="00FE0811">
      <w:pPr>
        <w:widowControl w:val="0"/>
        <w:jc w:val="left"/>
        <w:rPr>
          <w:rFonts w:cs="Arial"/>
          <w:b/>
          <w:bCs/>
        </w:rPr>
      </w:pPr>
      <w:r>
        <w:rPr>
          <w:rFonts w:cs="Arial"/>
          <w:b/>
          <w:bCs/>
        </w:rPr>
        <w:t>3</w:t>
      </w:r>
      <w:r w:rsidR="00C20523" w:rsidRPr="00F11313">
        <w:rPr>
          <w:rFonts w:cs="Arial"/>
          <w:b/>
          <w:bCs/>
        </w:rPr>
        <w:t>.</w:t>
      </w:r>
      <w:r w:rsidR="00930412">
        <w:rPr>
          <w:rFonts w:cs="Arial"/>
          <w:b/>
          <w:bCs/>
        </w:rPr>
        <w:t>1</w:t>
      </w:r>
      <w:r w:rsidR="007C6E92">
        <w:rPr>
          <w:rFonts w:cs="Arial"/>
          <w:b/>
          <w:bCs/>
        </w:rPr>
        <w:t xml:space="preserve">. </w:t>
      </w:r>
      <w:r w:rsidR="00C20523">
        <w:rPr>
          <w:rFonts w:cs="Arial"/>
          <w:b/>
          <w:bCs/>
        </w:rPr>
        <w:t>P</w:t>
      </w:r>
      <w:r w:rsidR="00CA0421">
        <w:rPr>
          <w:rFonts w:cs="Arial"/>
          <w:b/>
          <w:bCs/>
        </w:rPr>
        <w:t>rix des logements</w:t>
      </w:r>
      <w:r w:rsidR="007F0086">
        <w:rPr>
          <w:rFonts w:cs="Arial"/>
          <w:b/>
          <w:bCs/>
        </w:rPr>
        <w:t xml:space="preserve"> et loyers </w:t>
      </w:r>
      <w:r w:rsidR="0034645F">
        <w:rPr>
          <w:rFonts w:cs="Arial"/>
          <w:b/>
          <w:bCs/>
        </w:rPr>
        <w:t xml:space="preserve">                                                                                       3.2</w:t>
      </w:r>
      <w:r w:rsidR="0034645F" w:rsidRPr="00D55137">
        <w:rPr>
          <w:rFonts w:cs="Arial"/>
          <w:b/>
          <w:bCs/>
        </w:rPr>
        <w:t xml:space="preserve"> </w:t>
      </w:r>
      <w:r w:rsidR="0034645F">
        <w:rPr>
          <w:rFonts w:cs="Arial"/>
          <w:b/>
          <w:bCs/>
        </w:rPr>
        <w:t>Taux d’intérêt et inflation</w:t>
      </w:r>
    </w:p>
    <w:p w14:paraId="35F3647F" w14:textId="699C3AD8" w:rsidR="0034645F" w:rsidRDefault="00835EDD" w:rsidP="00FE0811">
      <w:pPr>
        <w:widowControl w:val="0"/>
        <w:rPr>
          <w:sz w:val="16"/>
          <w:szCs w:val="16"/>
        </w:rPr>
      </w:pPr>
      <w:r>
        <w:rPr>
          <w:sz w:val="16"/>
          <w:szCs w:val="16"/>
        </w:rPr>
        <w:pict w14:anchorId="630FA0E4">
          <v:shape id="_x0000_i1030" type="#_x0000_t75" style="width:400.25pt;height:214.8pt" o:bordertopcolor="this" o:borderleftcolor="this" o:borderbottomcolor="this" o:borderrightcolor="this">
            <v:imagedata r:id="rId36" o:title="" croptop="11850f" cropbottom="382f"/>
            <w10:bordertop type="single" width="4"/>
            <w10:borderleft type="single" width="4"/>
            <w10:borderbottom type="single" width="4"/>
            <w10:borderright type="single" width="4"/>
          </v:shape>
        </w:pict>
      </w:r>
      <w:r w:rsidR="0034645F">
        <w:rPr>
          <w:sz w:val="16"/>
          <w:szCs w:val="16"/>
        </w:rPr>
        <w:t xml:space="preserve"> </w:t>
      </w:r>
      <w:r>
        <w:rPr>
          <w:rFonts w:cs="Arial"/>
          <w:sz w:val="16"/>
          <w:szCs w:val="16"/>
        </w:rPr>
        <w:pict w14:anchorId="44FC451C">
          <v:shape id="_x0000_i1031" type="#_x0000_t75" style="width:397.6pt;height:213.6pt" o:bordertopcolor="this" o:borderleftcolor="this" o:borderbottomcolor="this" o:borderrightcolor="this">
            <v:imagedata r:id="rId37" o:title="" croptop="8215f" cropbottom="822f"/>
            <w10:bordertop type="single" width="4"/>
            <w10:borderleft type="single" width="4"/>
            <w10:borderbottom type="single" width="4"/>
            <w10:borderright type="single" width="4"/>
          </v:shape>
        </w:pict>
      </w:r>
    </w:p>
    <w:p w14:paraId="339F220B" w14:textId="2CDFC651" w:rsidR="00163056" w:rsidRPr="00A46B19" w:rsidRDefault="00C20523" w:rsidP="00FE0811">
      <w:pPr>
        <w:widowControl w:val="0"/>
        <w:rPr>
          <w:rFonts w:cs="Arial"/>
          <w:sz w:val="14"/>
          <w:szCs w:val="14"/>
        </w:rPr>
      </w:pPr>
      <w:r w:rsidRPr="00A46B19">
        <w:rPr>
          <w:rFonts w:cs="Arial"/>
          <w:sz w:val="14"/>
          <w:szCs w:val="14"/>
        </w:rPr>
        <w:t xml:space="preserve">Source : </w:t>
      </w:r>
      <w:hyperlink r:id="rId38" w:history="1">
        <w:r w:rsidR="00A655FA" w:rsidRPr="00EE57A4">
          <w:rPr>
            <w:rStyle w:val="Lienhypertexte"/>
            <w:rFonts w:cs="Arial"/>
            <w:color w:val="0000FF"/>
            <w:sz w:val="14"/>
            <w:szCs w:val="14"/>
            <w:u w:val="single"/>
          </w:rPr>
          <w:t>CGEDD</w:t>
        </w:r>
      </w:hyperlink>
      <w:r w:rsidRPr="00A46B19">
        <w:rPr>
          <w:rFonts w:cs="Arial"/>
          <w:sz w:val="14"/>
          <w:szCs w:val="14"/>
        </w:rPr>
        <w:t xml:space="preserve"> d’après INSEE, bases de données notariales et indices Notaires-INSEE désaisonnalisés</w:t>
      </w:r>
      <w:r w:rsidR="00163056" w:rsidRPr="00A46B19">
        <w:rPr>
          <w:rFonts w:cs="Arial"/>
          <w:sz w:val="14"/>
          <w:szCs w:val="14"/>
        </w:rPr>
        <w:t>.</w:t>
      </w:r>
      <w:r w:rsidR="0034645F">
        <w:rPr>
          <w:rFonts w:cs="Arial"/>
          <w:sz w:val="14"/>
          <w:szCs w:val="14"/>
        </w:rPr>
        <w:t xml:space="preserve">                                     </w:t>
      </w:r>
      <w:r w:rsidR="0034645F" w:rsidRPr="00A46B19">
        <w:rPr>
          <w:rFonts w:cs="Arial"/>
          <w:sz w:val="14"/>
          <w:szCs w:val="14"/>
        </w:rPr>
        <w:t xml:space="preserve">Source : </w:t>
      </w:r>
      <w:hyperlink r:id="rId39" w:history="1">
        <w:r w:rsidR="0034645F" w:rsidRPr="00EE57A4">
          <w:rPr>
            <w:rStyle w:val="Lienhypertexte"/>
            <w:rFonts w:cs="Arial"/>
            <w:color w:val="0000FF"/>
            <w:sz w:val="14"/>
            <w:szCs w:val="14"/>
            <w:u w:val="single"/>
          </w:rPr>
          <w:t>CGEDD</w:t>
        </w:r>
      </w:hyperlink>
      <w:r w:rsidR="0034645F" w:rsidRPr="00A46B19">
        <w:rPr>
          <w:rFonts w:cs="Arial"/>
          <w:sz w:val="14"/>
          <w:szCs w:val="14"/>
        </w:rPr>
        <w:t xml:space="preserve"> d’après</w:t>
      </w:r>
      <w:r w:rsidR="0034645F">
        <w:rPr>
          <w:rFonts w:cs="Arial"/>
          <w:sz w:val="14"/>
          <w:szCs w:val="14"/>
        </w:rPr>
        <w:t xml:space="preserve"> INSEE et </w:t>
      </w:r>
      <w:r w:rsidR="0034645F" w:rsidRPr="00A46B19">
        <w:rPr>
          <w:rFonts w:cs="Arial"/>
          <w:sz w:val="14"/>
          <w:szCs w:val="14"/>
        </w:rPr>
        <w:t xml:space="preserve"> </w:t>
      </w:r>
      <w:r w:rsidR="0034645F">
        <w:rPr>
          <w:rFonts w:cs="Arial"/>
          <w:sz w:val="14"/>
          <w:szCs w:val="14"/>
        </w:rPr>
        <w:t>Banque de France</w:t>
      </w:r>
      <w:r w:rsidR="0034645F" w:rsidRPr="00A46B19">
        <w:rPr>
          <w:rFonts w:cs="Arial"/>
          <w:sz w:val="14"/>
          <w:szCs w:val="14"/>
        </w:rPr>
        <w:t xml:space="preserve"> (TMO avant 1989, TME</w:t>
      </w:r>
      <w:r w:rsidR="0034645F">
        <w:rPr>
          <w:rFonts w:cs="Arial"/>
          <w:sz w:val="14"/>
          <w:szCs w:val="14"/>
        </w:rPr>
        <w:t xml:space="preserve"> de</w:t>
      </w:r>
      <w:r w:rsidR="0034645F" w:rsidRPr="00A46B19">
        <w:rPr>
          <w:rFonts w:cs="Arial"/>
          <w:sz w:val="14"/>
          <w:szCs w:val="14"/>
        </w:rPr>
        <w:t xml:space="preserve"> 1989</w:t>
      </w:r>
      <w:r w:rsidR="0034645F">
        <w:rPr>
          <w:rFonts w:cs="Arial"/>
          <w:sz w:val="14"/>
          <w:szCs w:val="14"/>
        </w:rPr>
        <w:t xml:space="preserve"> à 2003, taux des crédits aux ménages </w:t>
      </w:r>
    </w:p>
    <w:p w14:paraId="0DB4BCBC" w14:textId="666B9CCF" w:rsidR="00C00C27" w:rsidRDefault="00C8337F" w:rsidP="00FE0811">
      <w:pPr>
        <w:widowControl w:val="0"/>
        <w:rPr>
          <w:rFonts w:cs="Arial"/>
          <w:sz w:val="14"/>
          <w:szCs w:val="14"/>
        </w:rPr>
      </w:pPr>
      <w:bookmarkStart w:id="1" w:name="_Hlk523638187"/>
      <w:r>
        <w:rPr>
          <w:rFonts w:cs="Arial"/>
          <w:sz w:val="16"/>
          <w:szCs w:val="16"/>
        </w:rPr>
        <w:t>Sur la stabilité de l’indice des loyers par rapport au revenu par ménage, c</w:t>
      </w:r>
      <w:r w:rsidRPr="00C8337F">
        <w:rPr>
          <w:rFonts w:cs="Arial"/>
          <w:sz w:val="16"/>
          <w:szCs w:val="14"/>
        </w:rPr>
        <w:t>f. cette note sur l’</w:t>
      </w:r>
      <w:hyperlink r:id="rId40" w:history="1">
        <w:r w:rsidRPr="00C8337F">
          <w:rPr>
            <w:color w:val="0000FF"/>
            <w:sz w:val="16"/>
            <w:szCs w:val="14"/>
            <w:u w:val="single"/>
          </w:rPr>
          <w:t>évolution des loyers</w:t>
        </w:r>
      </w:hyperlink>
      <w:r w:rsidR="0034645F">
        <w:rPr>
          <w:color w:val="0000FF"/>
          <w:sz w:val="16"/>
          <w:szCs w:val="14"/>
          <w:u w:val="single"/>
        </w:rPr>
        <w:t xml:space="preserve"> et</w:t>
      </w:r>
      <w:r>
        <w:rPr>
          <w:rFonts w:cs="Arial"/>
          <w:sz w:val="16"/>
          <w:szCs w:val="14"/>
        </w:rPr>
        <w:t xml:space="preserve"> </w:t>
      </w:r>
      <w:bookmarkEnd w:id="1"/>
      <w:r w:rsidR="0034645F">
        <w:rPr>
          <w:rFonts w:cs="Arial"/>
          <w:sz w:val="14"/>
          <w:szCs w:val="14"/>
        </w:rPr>
        <w:t>pour l’habitat de PFIT&gt;1 an à partir de 2004)</w:t>
      </w:r>
      <w:r w:rsidR="0034645F" w:rsidRPr="00A46B19">
        <w:rPr>
          <w:rFonts w:cs="Arial"/>
          <w:sz w:val="14"/>
          <w:szCs w:val="14"/>
        </w:rPr>
        <w:t>.</w:t>
      </w:r>
    </w:p>
    <w:p w14:paraId="73D54F35" w14:textId="20374812" w:rsidR="0034645F" w:rsidRPr="00C8337F" w:rsidRDefault="00713DBC" w:rsidP="00FE0811">
      <w:pPr>
        <w:widowControl w:val="0"/>
        <w:rPr>
          <w:rFonts w:cs="Arial"/>
          <w:sz w:val="16"/>
          <w:szCs w:val="14"/>
        </w:rPr>
      </w:pPr>
      <w:hyperlink r:id="rId41" w:history="1">
        <w:r w:rsidR="0034645F" w:rsidRPr="00C8337F">
          <w:rPr>
            <w:color w:val="0000FF"/>
            <w:sz w:val="16"/>
            <w:szCs w:val="14"/>
            <w:u w:val="single"/>
          </w:rPr>
          <w:t>des revenus depuis 1970</w:t>
        </w:r>
      </w:hyperlink>
    </w:p>
    <w:p w14:paraId="2DF98E79" w14:textId="76BBDAE0" w:rsidR="00FE0811" w:rsidRDefault="00FE0811" w:rsidP="00FE0811">
      <w:pPr>
        <w:widowControl w:val="0"/>
        <w:jc w:val="left"/>
        <w:rPr>
          <w:rFonts w:cs="Arial"/>
          <w:bCs/>
          <w:sz w:val="18"/>
        </w:rPr>
      </w:pPr>
      <w:r>
        <w:rPr>
          <w:rFonts w:cs="Arial"/>
          <w:b/>
          <w:bCs/>
        </w:rPr>
        <w:t>3.</w:t>
      </w:r>
      <w:r w:rsidR="00E529E3">
        <w:rPr>
          <w:rFonts w:cs="Arial"/>
          <w:b/>
          <w:bCs/>
        </w:rPr>
        <w:t>3</w:t>
      </w:r>
      <w:r w:rsidRPr="00D801F6">
        <w:rPr>
          <w:rFonts w:cs="Arial"/>
          <w:b/>
          <w:bCs/>
        </w:rPr>
        <w:t xml:space="preserve">. </w:t>
      </w:r>
      <w:r>
        <w:rPr>
          <w:rFonts w:cs="Arial"/>
          <w:b/>
          <w:bCs/>
        </w:rPr>
        <w:t>Indicateur de pouvoir d’achat immobilier des ménages</w:t>
      </w:r>
      <w:r w:rsidR="0034645F">
        <w:rPr>
          <w:rFonts w:cs="Arial"/>
          <w:b/>
          <w:bCs/>
        </w:rPr>
        <w:t xml:space="preserve">                                           3.4 Durée d’emprunt permettant d’acheter le même logement</w:t>
      </w:r>
    </w:p>
    <w:p w14:paraId="2B712DF2" w14:textId="6E0C210A" w:rsidR="00AC1290" w:rsidRDefault="00835EDD" w:rsidP="00FE0811">
      <w:pPr>
        <w:widowControl w:val="0"/>
        <w:rPr>
          <w:sz w:val="16"/>
          <w:szCs w:val="16"/>
        </w:rPr>
      </w:pPr>
      <w:r>
        <w:rPr>
          <w:b/>
          <w:bCs/>
        </w:rPr>
        <w:pict w14:anchorId="3885549F">
          <v:shape id="_x0000_i1032" type="#_x0000_t75" style="width:400.25pt;height:232.95pt" o:bordertopcolor="this" o:borderleftcolor="this" o:borderbottomcolor="this" o:borderrightcolor="this">
            <v:imagedata r:id="rId42" o:title="" croptop="7148f" cropbottom="382f"/>
            <w10:bordertop type="single" width="4"/>
            <w10:borderleft type="single" width="4"/>
            <w10:borderbottom type="single" width="4"/>
            <w10:borderright type="single" width="4"/>
          </v:shape>
        </w:pict>
      </w:r>
      <w:r w:rsidR="0034645F">
        <w:rPr>
          <w:b/>
          <w:bCs/>
        </w:rPr>
        <w:t xml:space="preserve"> </w:t>
      </w:r>
      <w:r>
        <w:rPr>
          <w:sz w:val="16"/>
          <w:szCs w:val="16"/>
        </w:rPr>
        <w:pict w14:anchorId="217ED948">
          <v:shape id="_x0000_i1033" type="#_x0000_t75" style="width:400.15pt;height:231.55pt" o:bordertopcolor="this" o:borderleftcolor="this" o:borderbottomcolor="this" o:borderrightcolor="this">
            <v:imagedata r:id="rId43" o:title="" croptop="4267f"/>
            <w10:bordertop type="single" width="4"/>
            <w10:borderleft type="single" width="4"/>
            <w10:borderbottom type="single" width="4"/>
            <w10:borderright type="single" width="4"/>
          </v:shape>
        </w:pict>
      </w:r>
    </w:p>
    <w:p w14:paraId="59DB7C24" w14:textId="342886D7" w:rsidR="00FE0811" w:rsidRDefault="00FE0811" w:rsidP="00FE0811">
      <w:pPr>
        <w:widowControl w:val="0"/>
        <w:rPr>
          <w:rFonts w:cs="Arial"/>
          <w:sz w:val="14"/>
          <w:szCs w:val="14"/>
        </w:rPr>
      </w:pPr>
      <w:r w:rsidRPr="00A46B19">
        <w:rPr>
          <w:rFonts w:cs="Arial"/>
          <w:sz w:val="14"/>
          <w:szCs w:val="14"/>
        </w:rPr>
        <w:t xml:space="preserve">Source : </w:t>
      </w:r>
      <w:hyperlink r:id="rId44" w:history="1">
        <w:r w:rsidRPr="00EE57A4">
          <w:rPr>
            <w:rStyle w:val="Lienhypertexte"/>
            <w:rFonts w:cs="Arial"/>
            <w:color w:val="0000FF"/>
            <w:sz w:val="14"/>
            <w:szCs w:val="14"/>
            <w:u w:val="single"/>
          </w:rPr>
          <w:t>CGEDD</w:t>
        </w:r>
      </w:hyperlink>
      <w:r w:rsidRPr="00A46B19">
        <w:rPr>
          <w:rFonts w:cs="Arial"/>
          <w:sz w:val="14"/>
          <w:szCs w:val="14"/>
        </w:rPr>
        <w:t xml:space="preserve"> d’après INSEE, bases de données notariales, indices Notaires-INSEE désaisonnalisés</w:t>
      </w:r>
      <w:r>
        <w:rPr>
          <w:rFonts w:cs="Arial"/>
          <w:sz w:val="14"/>
          <w:szCs w:val="14"/>
        </w:rPr>
        <w:t xml:space="preserve"> et</w:t>
      </w:r>
      <w:r w:rsidRPr="00A46B19">
        <w:rPr>
          <w:rFonts w:cs="Arial"/>
          <w:sz w:val="14"/>
          <w:szCs w:val="14"/>
        </w:rPr>
        <w:t xml:space="preserve"> Banque de France.</w:t>
      </w:r>
      <w:r w:rsidR="0034645F">
        <w:rPr>
          <w:rFonts w:cs="Arial"/>
          <w:sz w:val="14"/>
          <w:szCs w:val="14"/>
        </w:rPr>
        <w:t xml:space="preserve">     </w:t>
      </w:r>
      <w:r w:rsidR="0034645F" w:rsidRPr="00A46B19">
        <w:rPr>
          <w:rFonts w:cs="Arial"/>
          <w:sz w:val="14"/>
          <w:szCs w:val="14"/>
        </w:rPr>
        <w:t xml:space="preserve">Source : </w:t>
      </w:r>
      <w:hyperlink r:id="rId45" w:history="1">
        <w:r w:rsidR="0034645F" w:rsidRPr="00EE57A4">
          <w:rPr>
            <w:rStyle w:val="Lienhypertexte"/>
            <w:rFonts w:cs="Arial"/>
            <w:color w:val="0000FF"/>
            <w:sz w:val="14"/>
            <w:szCs w:val="14"/>
            <w:u w:val="single"/>
          </w:rPr>
          <w:t>CGEDD</w:t>
        </w:r>
      </w:hyperlink>
      <w:r w:rsidR="0034645F" w:rsidRPr="00A46B19">
        <w:rPr>
          <w:rFonts w:cs="Arial"/>
          <w:sz w:val="14"/>
          <w:szCs w:val="14"/>
        </w:rPr>
        <w:t xml:space="preserve"> d’après INSEE, bases de données notariales, indices Notaires-INSEE désaisonnalisés</w:t>
      </w:r>
      <w:r w:rsidR="0034645F">
        <w:rPr>
          <w:rFonts w:cs="Arial"/>
          <w:sz w:val="14"/>
          <w:szCs w:val="14"/>
        </w:rPr>
        <w:t xml:space="preserve"> et</w:t>
      </w:r>
      <w:r w:rsidR="0034645F" w:rsidRPr="00A46B19">
        <w:rPr>
          <w:rFonts w:cs="Arial"/>
          <w:sz w:val="14"/>
          <w:szCs w:val="14"/>
        </w:rPr>
        <w:t xml:space="preserve"> Banque de France.</w:t>
      </w:r>
    </w:p>
    <w:p w14:paraId="5A6DE129" w14:textId="5ED3D935" w:rsidR="004C2745" w:rsidRDefault="004C2745" w:rsidP="00FE0811">
      <w:pPr>
        <w:rPr>
          <w:rFonts w:cs="Arial"/>
          <w:sz w:val="16"/>
          <w:szCs w:val="14"/>
        </w:rPr>
      </w:pPr>
      <w:r>
        <w:rPr>
          <w:rFonts w:cs="Arial"/>
          <w:sz w:val="16"/>
          <w:szCs w:val="16"/>
        </w:rPr>
        <w:t xml:space="preserve">Les graphiques 3.3 et 3.4 suivent dans le temps </w:t>
      </w:r>
      <w:r w:rsidR="00E2109B">
        <w:rPr>
          <w:rFonts w:cs="Arial"/>
          <w:sz w:val="16"/>
          <w:szCs w:val="16"/>
        </w:rPr>
        <w:t>la situation de ménages primo-accédants.  A</w:t>
      </w:r>
      <w:r w:rsidR="00FE0811">
        <w:rPr>
          <w:rFonts w:cs="Arial"/>
          <w:sz w:val="16"/>
          <w:szCs w:val="16"/>
        </w:rPr>
        <w:t>u T1 2000</w:t>
      </w:r>
      <w:r w:rsidR="00FE0811" w:rsidRPr="00687485">
        <w:rPr>
          <w:rFonts w:cs="Arial"/>
          <w:sz w:val="16"/>
          <w:szCs w:val="16"/>
        </w:rPr>
        <w:t xml:space="preserve">, l’achat </w:t>
      </w:r>
      <w:r w:rsidR="00E2109B">
        <w:rPr>
          <w:rFonts w:cs="Arial"/>
          <w:sz w:val="16"/>
          <w:szCs w:val="16"/>
        </w:rPr>
        <w:t xml:space="preserve">est financé </w:t>
      </w:r>
      <w:r w:rsidR="00FE0811" w:rsidRPr="00687485">
        <w:rPr>
          <w:rFonts w:cs="Arial"/>
          <w:sz w:val="16"/>
          <w:szCs w:val="16"/>
        </w:rPr>
        <w:t xml:space="preserve">pour </w:t>
      </w:r>
      <w:r w:rsidR="00FE0811">
        <w:rPr>
          <w:rFonts w:cs="Arial"/>
          <w:sz w:val="16"/>
          <w:szCs w:val="16"/>
        </w:rPr>
        <w:t>10%</w:t>
      </w:r>
      <w:r w:rsidR="00FE0811" w:rsidRPr="00687485">
        <w:rPr>
          <w:rFonts w:cs="Arial"/>
          <w:sz w:val="16"/>
          <w:szCs w:val="16"/>
        </w:rPr>
        <w:t xml:space="preserve"> par la réalisation d’une épargne financière et pour </w:t>
      </w:r>
      <w:r w:rsidR="00FE0811">
        <w:rPr>
          <w:rFonts w:cs="Arial"/>
          <w:sz w:val="16"/>
          <w:szCs w:val="16"/>
        </w:rPr>
        <w:t>90%</w:t>
      </w:r>
      <w:r w:rsidR="00FE0811" w:rsidRPr="00687485">
        <w:rPr>
          <w:rFonts w:cs="Arial"/>
          <w:sz w:val="16"/>
          <w:szCs w:val="16"/>
        </w:rPr>
        <w:t xml:space="preserve"> par un emprunt sur 15 ans à</w:t>
      </w:r>
      <w:r w:rsidR="00FE0811" w:rsidRPr="00E3167E">
        <w:rPr>
          <w:rFonts w:cs="Arial"/>
          <w:sz w:val="16"/>
          <w:szCs w:val="14"/>
        </w:rPr>
        <w:t xml:space="preserve"> taux et mensualités fixes.  </w:t>
      </w:r>
      <w:r w:rsidR="00E2109B">
        <w:rPr>
          <w:rFonts w:cs="Arial"/>
          <w:sz w:val="16"/>
          <w:szCs w:val="14"/>
        </w:rPr>
        <w:t>L</w:t>
      </w:r>
      <w:r w:rsidR="00FE0811" w:rsidRPr="00E3167E">
        <w:rPr>
          <w:rFonts w:cs="Arial"/>
          <w:sz w:val="16"/>
          <w:szCs w:val="14"/>
        </w:rPr>
        <w:t xml:space="preserve">’épargne financière </w:t>
      </w:r>
      <w:r w:rsidR="00FE0811">
        <w:rPr>
          <w:rFonts w:cs="Arial"/>
          <w:sz w:val="16"/>
          <w:szCs w:val="14"/>
        </w:rPr>
        <w:t>vari</w:t>
      </w:r>
      <w:r w:rsidR="00E2109B">
        <w:rPr>
          <w:rFonts w:cs="Arial"/>
          <w:sz w:val="16"/>
          <w:szCs w:val="14"/>
        </w:rPr>
        <w:t>e</w:t>
      </w:r>
      <w:r w:rsidR="00FE0811" w:rsidRPr="00E3167E">
        <w:rPr>
          <w:rFonts w:cs="Arial"/>
          <w:sz w:val="16"/>
          <w:szCs w:val="14"/>
        </w:rPr>
        <w:t xml:space="preserve"> comme le revenu par ménage</w:t>
      </w:r>
      <w:r>
        <w:rPr>
          <w:rFonts w:cs="Arial"/>
          <w:sz w:val="16"/>
          <w:szCs w:val="14"/>
        </w:rPr>
        <w:t xml:space="preserve"> et le solde est financé par emprunt</w:t>
      </w:r>
      <w:r w:rsidR="00FE0811" w:rsidRPr="00E3167E">
        <w:rPr>
          <w:rFonts w:cs="Arial"/>
          <w:sz w:val="16"/>
          <w:szCs w:val="14"/>
        </w:rPr>
        <w:t>.</w:t>
      </w:r>
    </w:p>
    <w:p w14:paraId="79FD86EE" w14:textId="0D5794E3" w:rsidR="00871FBE" w:rsidRDefault="00871FBE" w:rsidP="00871FBE">
      <w:pPr>
        <w:rPr>
          <w:sz w:val="16"/>
          <w:szCs w:val="16"/>
        </w:rPr>
      </w:pPr>
      <w:r>
        <w:rPr>
          <w:rFonts w:cs="Arial"/>
          <w:sz w:val="16"/>
          <w:szCs w:val="16"/>
        </w:rPr>
        <w:t>Le graphique 3.3 représente l</w:t>
      </w:r>
      <w:r w:rsidR="004C2745" w:rsidRPr="00687485">
        <w:rPr>
          <w:rFonts w:cs="Arial"/>
          <w:sz w:val="16"/>
          <w:szCs w:val="16"/>
        </w:rPr>
        <w:t>’indicateur de pouvoir d’achat immobilier</w:t>
      </w:r>
      <w:r>
        <w:rPr>
          <w:rFonts w:cs="Arial"/>
          <w:sz w:val="16"/>
          <w:szCs w:val="16"/>
        </w:rPr>
        <w:t>, c’est-à-dire</w:t>
      </w:r>
      <w:r w:rsidR="004C2745" w:rsidRPr="00687485">
        <w:rPr>
          <w:rFonts w:cs="Arial"/>
          <w:sz w:val="16"/>
          <w:szCs w:val="16"/>
        </w:rPr>
        <w:t xml:space="preserve"> la quantité de logement ancien que</w:t>
      </w:r>
      <w:r>
        <w:rPr>
          <w:rFonts w:cs="Arial"/>
          <w:sz w:val="16"/>
          <w:szCs w:val="16"/>
        </w:rPr>
        <w:t xml:space="preserve"> le ménage peut acheter</w:t>
      </w:r>
      <w:r w:rsidR="004C2745" w:rsidRPr="00687485">
        <w:rPr>
          <w:rFonts w:cs="Arial"/>
          <w:sz w:val="16"/>
          <w:szCs w:val="16"/>
        </w:rPr>
        <w:t>, pour un taux d’effort (mensualité rapportée au revenu) donné</w:t>
      </w:r>
      <w:r w:rsidR="004C2745">
        <w:rPr>
          <w:rFonts w:cs="Arial"/>
          <w:sz w:val="16"/>
          <w:szCs w:val="16"/>
        </w:rPr>
        <w:t xml:space="preserve">, en base T1 2000=1.  </w:t>
      </w:r>
      <w:r>
        <w:rPr>
          <w:rFonts w:cs="Arial"/>
          <w:sz w:val="16"/>
          <w:szCs w:val="16"/>
        </w:rPr>
        <w:t xml:space="preserve">Le graphique 3.4 représente la durée d’emprunt permettant au ménage d’acheter le même logement en base </w:t>
      </w:r>
      <w:r w:rsidR="00D554C7">
        <w:rPr>
          <w:rFonts w:cs="Arial"/>
          <w:sz w:val="16"/>
          <w:szCs w:val="16"/>
        </w:rPr>
        <w:t xml:space="preserve">T1 </w:t>
      </w:r>
      <w:r>
        <w:rPr>
          <w:rFonts w:cs="Arial"/>
          <w:sz w:val="16"/>
          <w:szCs w:val="16"/>
        </w:rPr>
        <w:t>2000=15 ans.</w:t>
      </w:r>
      <w:r w:rsidR="00D554C7">
        <w:rPr>
          <w:rFonts w:cs="Arial"/>
          <w:sz w:val="16"/>
          <w:szCs w:val="16"/>
        </w:rPr>
        <w:t xml:space="preserve"> </w:t>
      </w:r>
      <w:r w:rsidR="00FE0811" w:rsidRPr="00E3167E">
        <w:rPr>
          <w:rFonts w:cs="Arial"/>
          <w:sz w:val="16"/>
          <w:szCs w:val="14"/>
        </w:rPr>
        <w:t>En période de forte</w:t>
      </w:r>
      <w:r w:rsidR="00FE0811">
        <w:rPr>
          <w:rFonts w:cs="Arial"/>
          <w:sz w:val="16"/>
          <w:szCs w:val="14"/>
        </w:rPr>
        <w:t xml:space="preserve"> </w:t>
      </w:r>
      <w:r w:rsidR="00FE0811" w:rsidRPr="00E3167E">
        <w:rPr>
          <w:rFonts w:cs="Arial"/>
          <w:sz w:val="16"/>
          <w:szCs w:val="14"/>
        </w:rPr>
        <w:t>inflation</w:t>
      </w:r>
      <w:r w:rsidR="00FE0811">
        <w:rPr>
          <w:rFonts w:cs="Arial"/>
          <w:sz w:val="16"/>
          <w:szCs w:val="14"/>
        </w:rPr>
        <w:t xml:space="preserve"> (1968-1985)</w:t>
      </w:r>
      <w:r w:rsidR="00FE0811" w:rsidRPr="00E3167E">
        <w:rPr>
          <w:rFonts w:cs="Arial"/>
          <w:sz w:val="16"/>
          <w:szCs w:val="14"/>
        </w:rPr>
        <w:t>, on utilise le taux d’intérêt net d’inflation, ce qui constitue une vue de l’esprit (notamment parce que ce taux peut être négatif) mais rend compte, dans une certaine mesure, de l’effet des anticipations d’inflation (supposées égales à l’inflation sur les 12 derniers mois) sur le taux d’effort initial accepté par les emprunteurs et les prêteurs.</w:t>
      </w:r>
      <w:r w:rsidR="00FE0811">
        <w:rPr>
          <w:rFonts w:cs="Arial"/>
          <w:sz w:val="16"/>
          <w:szCs w:val="14"/>
        </w:rPr>
        <w:t xml:space="preserve">  </w:t>
      </w:r>
      <w:r w:rsidR="00FE0811" w:rsidRPr="00171AD4">
        <w:rPr>
          <w:rFonts w:cs="Arial"/>
          <w:sz w:val="16"/>
          <w:szCs w:val="14"/>
        </w:rPr>
        <w:t>Les aides publiques ne sont pas prises en compte (leur impact est</w:t>
      </w:r>
      <w:r w:rsidR="00FE0811">
        <w:rPr>
          <w:rFonts w:cs="Arial"/>
          <w:sz w:val="16"/>
          <w:szCs w:val="14"/>
        </w:rPr>
        <w:t xml:space="preserve"> faible par rapport aux fluctuations de l’indicateur).  Cf. </w:t>
      </w:r>
      <w:r w:rsidR="00D554C7">
        <w:rPr>
          <w:rFonts w:cs="Arial"/>
          <w:sz w:val="16"/>
          <w:szCs w:val="16"/>
        </w:rPr>
        <w:t xml:space="preserve">[1] et </w:t>
      </w:r>
      <w:r w:rsidR="00FE0811">
        <w:rPr>
          <w:rFonts w:cs="Arial"/>
          <w:sz w:val="16"/>
          <w:szCs w:val="14"/>
        </w:rPr>
        <w:t>§ 2.3.3. de</w:t>
      </w:r>
      <w:r w:rsidR="00FE0811">
        <w:rPr>
          <w:sz w:val="16"/>
          <w:szCs w:val="16"/>
        </w:rPr>
        <w:t xml:space="preserve"> [3]. </w:t>
      </w:r>
      <w:r>
        <w:rPr>
          <w:sz w:val="16"/>
          <w:szCs w:val="16"/>
        </w:rPr>
        <w:br w:type="page"/>
      </w:r>
    </w:p>
    <w:p w14:paraId="4899AA55" w14:textId="32F18B55" w:rsidR="00FA683D" w:rsidRPr="002102F1" w:rsidRDefault="00FA683D" w:rsidP="00FA683D">
      <w:pPr>
        <w:jc w:val="left"/>
        <w:rPr>
          <w:bCs/>
          <w:i/>
          <w:iCs/>
          <w:sz w:val="16"/>
          <w:szCs w:val="16"/>
        </w:rPr>
      </w:pPr>
      <w:r>
        <w:rPr>
          <w:rFonts w:cs="Arial"/>
          <w:b/>
          <w:bCs/>
        </w:rPr>
        <w:lastRenderedPageBreak/>
        <w:t>4</w:t>
      </w:r>
      <w:r w:rsidRPr="002102F1">
        <w:rPr>
          <w:rFonts w:cs="Arial"/>
          <w:b/>
          <w:bCs/>
        </w:rPr>
        <w:t xml:space="preserve">. </w:t>
      </w:r>
      <w:r w:rsidRPr="0051768B">
        <w:rPr>
          <w:rFonts w:cs="Arial"/>
          <w:b/>
          <w:bCs/>
        </w:rPr>
        <w:t>D</w:t>
      </w:r>
      <w:r>
        <w:rPr>
          <w:rFonts w:cs="Arial"/>
          <w:b/>
          <w:bCs/>
        </w:rPr>
        <w:t>epuis</w:t>
      </w:r>
      <w:r w:rsidRPr="0051768B">
        <w:rPr>
          <w:rFonts w:cs="Arial"/>
          <w:b/>
          <w:bCs/>
        </w:rPr>
        <w:t xml:space="preserve"> 1965</w:t>
      </w:r>
      <w:r>
        <w:rPr>
          <w:rFonts w:cs="Arial"/>
          <w:b/>
          <w:bCs/>
        </w:rPr>
        <w:t xml:space="preserve">, différenciation </w:t>
      </w:r>
      <w:r w:rsidR="00046B30">
        <w:rPr>
          <w:rFonts w:cs="Arial"/>
          <w:b/>
          <w:bCs/>
        </w:rPr>
        <w:t xml:space="preserve">locale             </w:t>
      </w:r>
      <w:r>
        <w:rPr>
          <w:rFonts w:cs="Arial"/>
          <w:b/>
          <w:bCs/>
        </w:rPr>
        <w:t xml:space="preserve">                                                                        </w:t>
      </w:r>
      <w:r w:rsidR="00774098">
        <w:rPr>
          <w:rFonts w:cs="Arial"/>
          <w:b/>
          <w:bCs/>
        </w:rPr>
        <w:t xml:space="preserve">                                                         </w:t>
      </w:r>
      <w:r>
        <w:rPr>
          <w:rFonts w:cs="Arial"/>
          <w:b/>
          <w:bCs/>
        </w:rPr>
        <w:t xml:space="preserve">                                                                    </w:t>
      </w:r>
      <w:r w:rsidRPr="004D1354">
        <w:rPr>
          <w:rFonts w:cs="Arial"/>
          <w:b/>
          <w:bCs/>
        </w:rPr>
        <w:t xml:space="preserve">     </w:t>
      </w:r>
      <w:r w:rsidRPr="004D1354">
        <w:rPr>
          <w:rFonts w:cs="Arial"/>
          <w:bCs/>
          <w:sz w:val="18"/>
        </w:rPr>
        <w:t xml:space="preserve">Page </w:t>
      </w:r>
      <w:r>
        <w:rPr>
          <w:rFonts w:cs="Arial"/>
          <w:bCs/>
          <w:sz w:val="18"/>
        </w:rPr>
        <w:t>4</w:t>
      </w:r>
    </w:p>
    <w:p w14:paraId="4A284815" w14:textId="755FE359" w:rsidR="00FA683D" w:rsidRDefault="00FA683D" w:rsidP="00FA683D">
      <w:pPr>
        <w:rPr>
          <w:rFonts w:cs="Arial"/>
          <w:b/>
          <w:bCs/>
          <w:sz w:val="16"/>
          <w:szCs w:val="16"/>
        </w:rPr>
      </w:pPr>
      <w:r>
        <w:rPr>
          <w:rFonts w:cs="Arial"/>
          <w:b/>
          <w:bCs/>
        </w:rPr>
        <w:t>4.1. Indices de prix des logements</w:t>
      </w:r>
      <w:r>
        <w:rPr>
          <w:rFonts w:cs="Arial"/>
          <w:b/>
          <w:bCs/>
          <w:sz w:val="16"/>
          <w:szCs w:val="16"/>
        </w:rPr>
        <w:t xml:space="preserve">                                                                                                              </w:t>
      </w:r>
      <w:r>
        <w:rPr>
          <w:rFonts w:cs="Arial"/>
          <w:b/>
          <w:bCs/>
        </w:rPr>
        <w:t>4.2. Indices de loyer</w:t>
      </w:r>
    </w:p>
    <w:p w14:paraId="541FE708" w14:textId="05A3DDB5" w:rsidR="00FA683D" w:rsidRDefault="00835EDD" w:rsidP="00FA683D">
      <w:pPr>
        <w:widowControl w:val="0"/>
        <w:jc w:val="left"/>
        <w:rPr>
          <w:rFonts w:cs="Arial"/>
          <w:sz w:val="14"/>
          <w:szCs w:val="14"/>
        </w:rPr>
      </w:pPr>
      <w:r>
        <w:rPr>
          <w:sz w:val="16"/>
          <w:szCs w:val="16"/>
        </w:rPr>
        <w:pict w14:anchorId="7084C8FD">
          <v:shape id="_x0000_i1034" type="#_x0000_t75" style="width:403.7pt;height:256.75pt" o:bordertopcolor="this" o:borderleftcolor="this" o:borderbottomcolor="this" o:borderrightcolor="this">
            <v:imagedata r:id="rId46" o:title="" croptop="382f" cropbottom="382f"/>
            <o:lock v:ext="edit" aspectratio="f"/>
            <w10:bordertop type="single" width="4"/>
            <w10:borderleft type="single" width="4"/>
            <w10:borderbottom type="single" width="4"/>
            <w10:borderright type="single" width="4"/>
          </v:shape>
        </w:pict>
      </w:r>
      <w:r w:rsidR="001372DE">
        <w:rPr>
          <w:sz w:val="16"/>
          <w:szCs w:val="16"/>
        </w:rPr>
        <w:t xml:space="preserve"> </w:t>
      </w:r>
      <w:r>
        <w:rPr>
          <w:sz w:val="16"/>
          <w:szCs w:val="16"/>
        </w:rPr>
        <w:pict w14:anchorId="6ABA5005">
          <v:shape id="_x0000_i1035" type="#_x0000_t75" style="width:395.95pt;height:256.75pt" o:bordertopcolor="this" o:borderleftcolor="this" o:borderbottomcolor="this" o:borderrightcolor="this">
            <v:imagedata r:id="rId47" o:title="" croptop="382f" cropbottom="382f" cropleft="251f" cropright="251f"/>
            <w10:bordertop type="single" width="4"/>
            <w10:borderleft type="single" width="4"/>
            <w10:borderbottom type="single" width="4"/>
            <w10:borderright type="single" width="4"/>
          </v:shape>
        </w:pict>
      </w:r>
      <w:r w:rsidR="00FA683D" w:rsidRPr="00FA683D">
        <w:rPr>
          <w:rFonts w:cs="Arial"/>
          <w:sz w:val="14"/>
          <w:szCs w:val="14"/>
        </w:rPr>
        <w:t xml:space="preserve"> </w:t>
      </w:r>
      <w:r w:rsidR="00FA683D" w:rsidRPr="00A46B19">
        <w:rPr>
          <w:rFonts w:cs="Arial"/>
          <w:sz w:val="14"/>
          <w:szCs w:val="14"/>
        </w:rPr>
        <w:t xml:space="preserve">Source : </w:t>
      </w:r>
      <w:hyperlink r:id="rId48" w:history="1">
        <w:r w:rsidR="00FA683D" w:rsidRPr="00EE57A4">
          <w:rPr>
            <w:rStyle w:val="Lienhypertexte"/>
            <w:rFonts w:cs="Arial"/>
            <w:color w:val="0000FF"/>
            <w:sz w:val="14"/>
            <w:szCs w:val="14"/>
            <w:u w:val="single"/>
          </w:rPr>
          <w:t>CGEDD</w:t>
        </w:r>
      </w:hyperlink>
      <w:r w:rsidR="00FA683D" w:rsidRPr="00A46B19">
        <w:rPr>
          <w:rFonts w:cs="Arial"/>
          <w:sz w:val="14"/>
          <w:szCs w:val="14"/>
        </w:rPr>
        <w:t xml:space="preserve"> d’après INSEE, bases de données notariales et indices Notaires-INSEE désaisonnalisés.</w:t>
      </w:r>
      <w:r w:rsidR="00FA683D" w:rsidRPr="00687485">
        <w:rPr>
          <w:rFonts w:cs="Arial"/>
          <w:sz w:val="16"/>
          <w:szCs w:val="16"/>
        </w:rPr>
        <w:t xml:space="preserve">  Cf.</w:t>
      </w:r>
      <w:r w:rsidR="00FA683D">
        <w:rPr>
          <w:rFonts w:cs="Arial"/>
          <w:sz w:val="16"/>
          <w:szCs w:val="16"/>
        </w:rPr>
        <w:t xml:space="preserve"> § 2.3.1. de</w:t>
      </w:r>
      <w:r w:rsidR="00FA683D">
        <w:rPr>
          <w:sz w:val="16"/>
          <w:szCs w:val="16"/>
        </w:rPr>
        <w:t xml:space="preserve"> [3].</w:t>
      </w:r>
      <w:r w:rsidR="00FA683D" w:rsidRPr="00FA683D">
        <w:rPr>
          <w:rFonts w:cs="Arial"/>
          <w:sz w:val="14"/>
          <w:szCs w:val="14"/>
        </w:rPr>
        <w:t xml:space="preserve"> </w:t>
      </w:r>
      <w:r w:rsidR="002A46B1">
        <w:rPr>
          <w:rFonts w:cs="Arial"/>
          <w:sz w:val="14"/>
          <w:szCs w:val="14"/>
        </w:rPr>
        <w:t xml:space="preserve">  </w:t>
      </w:r>
      <w:r w:rsidR="00FA683D">
        <w:rPr>
          <w:rFonts w:cs="Arial"/>
          <w:sz w:val="14"/>
          <w:szCs w:val="14"/>
        </w:rPr>
        <w:t>Source : indice des loyers</w:t>
      </w:r>
      <w:r w:rsidR="00552781">
        <w:rPr>
          <w:rFonts w:cs="Arial"/>
          <w:sz w:val="14"/>
          <w:szCs w:val="14"/>
        </w:rPr>
        <w:t xml:space="preserve"> observés</w:t>
      </w:r>
      <w:r w:rsidR="00FA683D">
        <w:rPr>
          <w:rFonts w:cs="Arial"/>
          <w:sz w:val="14"/>
          <w:szCs w:val="14"/>
        </w:rPr>
        <w:t xml:space="preserve"> d</w:t>
      </w:r>
      <w:r w:rsidR="00263D76">
        <w:rPr>
          <w:rFonts w:cs="Arial"/>
          <w:sz w:val="14"/>
          <w:szCs w:val="14"/>
        </w:rPr>
        <w:t>es résidences principales</w:t>
      </w:r>
      <w:r w:rsidR="00F245F9">
        <w:rPr>
          <w:rFonts w:cs="Arial"/>
          <w:sz w:val="14"/>
          <w:szCs w:val="14"/>
        </w:rPr>
        <w:t>,</w:t>
      </w:r>
      <w:r w:rsidR="00FA683D">
        <w:rPr>
          <w:rFonts w:cs="Arial"/>
          <w:sz w:val="14"/>
          <w:szCs w:val="14"/>
        </w:rPr>
        <w:t xml:space="preserve"> I</w:t>
      </w:r>
      <w:r w:rsidR="00F245F9">
        <w:rPr>
          <w:rFonts w:cs="Arial"/>
          <w:sz w:val="14"/>
          <w:szCs w:val="14"/>
        </w:rPr>
        <w:t>NSEE</w:t>
      </w:r>
      <w:r w:rsidR="002E10C0">
        <w:rPr>
          <w:rFonts w:cs="Arial"/>
          <w:sz w:val="14"/>
          <w:szCs w:val="14"/>
        </w:rPr>
        <w:t>.</w:t>
      </w:r>
    </w:p>
    <w:p w14:paraId="0280A48A" w14:textId="38A10E4D" w:rsidR="00C00C27" w:rsidRDefault="00E529E3" w:rsidP="00FA683D">
      <w:pPr>
        <w:rPr>
          <w:rFonts w:cs="Arial"/>
          <w:b/>
          <w:bCs/>
        </w:rPr>
      </w:pPr>
      <w:r>
        <w:rPr>
          <w:rFonts w:cs="Arial"/>
          <w:b/>
          <w:bCs/>
        </w:rPr>
        <w:t>4.3. Indicateur de pouvoir d’achat immobilier des ménages</w:t>
      </w:r>
      <w:r w:rsidR="00C00C27">
        <w:rPr>
          <w:rFonts w:cs="Arial"/>
          <w:b/>
          <w:bCs/>
        </w:rPr>
        <w:t xml:space="preserve">                                 </w:t>
      </w:r>
      <w:r>
        <w:rPr>
          <w:rFonts w:cs="Arial"/>
          <w:b/>
          <w:bCs/>
        </w:rPr>
        <w:t xml:space="preserve">     </w:t>
      </w:r>
      <w:r w:rsidR="00C00C27">
        <w:rPr>
          <w:rFonts w:cs="Arial"/>
          <w:b/>
          <w:bCs/>
        </w:rPr>
        <w:t xml:space="preserve">       </w:t>
      </w:r>
      <w:r>
        <w:rPr>
          <w:rFonts w:cs="Arial"/>
          <w:b/>
          <w:bCs/>
        </w:rPr>
        <w:t>4.4. Durée d’emprunt permettant d’acheter le même logement</w:t>
      </w:r>
    </w:p>
    <w:p w14:paraId="0662393B" w14:textId="53B2287D" w:rsidR="00FA683D" w:rsidRDefault="00835EDD" w:rsidP="00FA683D">
      <w:pPr>
        <w:rPr>
          <w:rFonts w:cs="Arial"/>
          <w:b/>
          <w:bCs/>
        </w:rPr>
      </w:pPr>
      <w:r>
        <w:pict w14:anchorId="75DA5314">
          <v:shape id="_x0000_i1036" type="#_x0000_t75" style="width:400.25pt;height:263pt" o:bordertopcolor="this" o:borderleftcolor="this" o:borderbottomcolor="this" o:borderrightcolor="this">
            <v:imagedata r:id="rId49" o:title=""/>
            <w10:bordertop type="single" width="4"/>
            <w10:borderleft type="single" width="4"/>
            <w10:borderbottom type="single" width="4"/>
            <w10:borderright type="single" width="4"/>
          </v:shape>
        </w:pict>
      </w:r>
      <w:r w:rsidR="00B44856">
        <w:t xml:space="preserve"> </w:t>
      </w:r>
      <w:r>
        <w:pict w14:anchorId="19D38E7B">
          <v:shape id="_x0000_i1037" type="#_x0000_t75" style="width:398.55pt;height:263.55pt" o:bordertopcolor="this" o:borderleftcolor="this" o:borderbottomcolor="this" o:borderrightcolor="this">
            <v:imagedata r:id="rId50" o:title="" cropright="251f"/>
            <w10:bordertop type="single" width="4"/>
            <w10:borderleft type="single" width="4"/>
            <w10:borderbottom type="single" width="4"/>
            <w10:borderright type="single" width="4"/>
          </v:shape>
        </w:pict>
      </w:r>
    </w:p>
    <w:p w14:paraId="2FD07D8B" w14:textId="28EEFC0A" w:rsidR="00774098" w:rsidRDefault="00FA683D" w:rsidP="00A70D19">
      <w:pPr>
        <w:keepNext/>
        <w:keepLines/>
        <w:rPr>
          <w:rFonts w:cs="Arial"/>
          <w:b/>
          <w:bCs/>
        </w:rPr>
      </w:pPr>
      <w:r w:rsidRPr="00687485">
        <w:rPr>
          <w:rFonts w:cs="Arial"/>
          <w:sz w:val="14"/>
          <w:szCs w:val="14"/>
        </w:rPr>
        <w:t>Source :</w:t>
      </w:r>
      <w:r>
        <w:rPr>
          <w:rFonts w:cs="Arial"/>
          <w:sz w:val="14"/>
          <w:szCs w:val="14"/>
        </w:rPr>
        <w:t xml:space="preserve"> comme graphique 3.</w:t>
      </w:r>
      <w:r w:rsidR="00C00C27">
        <w:rPr>
          <w:rFonts w:cs="Arial"/>
          <w:sz w:val="14"/>
          <w:szCs w:val="14"/>
        </w:rPr>
        <w:t>3</w:t>
      </w:r>
      <w:r>
        <w:rPr>
          <w:rFonts w:cs="Arial"/>
          <w:sz w:val="14"/>
          <w:szCs w:val="14"/>
        </w:rPr>
        <w:t xml:space="preserve">                                     </w:t>
      </w:r>
      <w:r w:rsidR="00EE0F6C">
        <w:rPr>
          <w:rFonts w:cs="Arial"/>
          <w:sz w:val="14"/>
          <w:szCs w:val="14"/>
        </w:rPr>
        <w:t xml:space="preserve">                                                                                                              </w:t>
      </w:r>
      <w:r>
        <w:rPr>
          <w:rFonts w:cs="Arial"/>
          <w:sz w:val="14"/>
          <w:szCs w:val="14"/>
        </w:rPr>
        <w:t xml:space="preserve">  </w:t>
      </w:r>
      <w:r w:rsidR="002A46B1">
        <w:rPr>
          <w:rFonts w:cs="Arial"/>
          <w:sz w:val="14"/>
          <w:szCs w:val="14"/>
        </w:rPr>
        <w:t xml:space="preserve">   </w:t>
      </w:r>
      <w:r>
        <w:rPr>
          <w:rFonts w:cs="Arial"/>
          <w:sz w:val="14"/>
          <w:szCs w:val="14"/>
        </w:rPr>
        <w:t xml:space="preserve">      Source : com</w:t>
      </w:r>
      <w:r w:rsidR="00774098">
        <w:rPr>
          <w:rFonts w:cs="Arial"/>
          <w:sz w:val="14"/>
          <w:szCs w:val="14"/>
        </w:rPr>
        <w:t>me graphique 3.4.</w:t>
      </w:r>
      <w:r w:rsidR="00774098">
        <w:rPr>
          <w:rFonts w:cs="Arial"/>
          <w:b/>
          <w:bCs/>
        </w:rPr>
        <w:br w:type="page"/>
      </w:r>
    </w:p>
    <w:p w14:paraId="4C2442BF" w14:textId="378D584A" w:rsidR="00EA1C19" w:rsidRPr="002102F1" w:rsidRDefault="002A46B1" w:rsidP="00EA1C19">
      <w:pPr>
        <w:jc w:val="left"/>
        <w:rPr>
          <w:bCs/>
          <w:i/>
          <w:iCs/>
          <w:sz w:val="16"/>
          <w:szCs w:val="16"/>
        </w:rPr>
      </w:pPr>
      <w:r>
        <w:rPr>
          <w:rFonts w:cs="Arial"/>
          <w:b/>
          <w:bCs/>
        </w:rPr>
        <w:lastRenderedPageBreak/>
        <w:t>5</w:t>
      </w:r>
      <w:r w:rsidR="00EA1C19" w:rsidRPr="002102F1">
        <w:rPr>
          <w:rFonts w:cs="Arial"/>
          <w:b/>
          <w:bCs/>
        </w:rPr>
        <w:t xml:space="preserve">. </w:t>
      </w:r>
      <w:r w:rsidR="00EA1C19" w:rsidRPr="0051768B">
        <w:rPr>
          <w:rFonts w:cs="Arial"/>
          <w:b/>
          <w:bCs/>
        </w:rPr>
        <w:t>D</w:t>
      </w:r>
      <w:r w:rsidR="00EA1C19">
        <w:rPr>
          <w:rFonts w:cs="Arial"/>
          <w:b/>
          <w:bCs/>
        </w:rPr>
        <w:t>epuis</w:t>
      </w:r>
      <w:r w:rsidR="00EA1C19" w:rsidRPr="0051768B">
        <w:rPr>
          <w:rFonts w:cs="Arial"/>
          <w:b/>
          <w:bCs/>
        </w:rPr>
        <w:t xml:space="preserve"> 1965</w:t>
      </w:r>
      <w:r w:rsidR="00EA1C19">
        <w:rPr>
          <w:rFonts w:cs="Arial"/>
          <w:b/>
          <w:bCs/>
        </w:rPr>
        <w:t>, comparaisons internationales</w:t>
      </w:r>
      <w:r w:rsidR="00774098">
        <w:rPr>
          <w:rFonts w:cs="Arial"/>
          <w:b/>
          <w:bCs/>
        </w:rPr>
        <w:t xml:space="preserve">                                                        </w:t>
      </w:r>
      <w:r w:rsidR="00EA1C19">
        <w:rPr>
          <w:rFonts w:cs="Arial"/>
          <w:b/>
          <w:bCs/>
        </w:rPr>
        <w:t xml:space="preserve">                                                                                                                                            </w:t>
      </w:r>
      <w:r w:rsidR="00EA1C19" w:rsidRPr="004D1354">
        <w:rPr>
          <w:rFonts w:cs="Arial"/>
          <w:b/>
          <w:bCs/>
        </w:rPr>
        <w:t xml:space="preserve">     </w:t>
      </w:r>
      <w:r w:rsidR="00EA1C19" w:rsidRPr="004D1354">
        <w:rPr>
          <w:rFonts w:cs="Arial"/>
          <w:bCs/>
          <w:sz w:val="18"/>
        </w:rPr>
        <w:t xml:space="preserve">Page </w:t>
      </w:r>
      <w:r w:rsidR="00932EC7">
        <w:rPr>
          <w:rFonts w:cs="Arial"/>
          <w:bCs/>
          <w:sz w:val="18"/>
        </w:rPr>
        <w:t>5</w:t>
      </w:r>
    </w:p>
    <w:p w14:paraId="262176D3" w14:textId="6E8738D1" w:rsidR="00EA1C19" w:rsidRDefault="002A46B1" w:rsidP="00EA1C19">
      <w:pPr>
        <w:rPr>
          <w:rFonts w:cs="Arial"/>
          <w:b/>
          <w:bCs/>
          <w:sz w:val="16"/>
          <w:szCs w:val="16"/>
        </w:rPr>
      </w:pPr>
      <w:r>
        <w:rPr>
          <w:rFonts w:cs="Arial"/>
          <w:b/>
          <w:bCs/>
        </w:rPr>
        <w:t>5</w:t>
      </w:r>
      <w:r w:rsidR="00EA1C19">
        <w:rPr>
          <w:rFonts w:cs="Arial"/>
          <w:b/>
          <w:bCs/>
        </w:rPr>
        <w:t>.1. Indices de prix des logements</w:t>
      </w:r>
      <w:r w:rsidR="00C00C27">
        <w:rPr>
          <w:rFonts w:cs="Arial"/>
          <w:b/>
          <w:bCs/>
        </w:rPr>
        <w:t xml:space="preserve">                                                </w:t>
      </w:r>
      <w:r w:rsidR="00EA1C19">
        <w:rPr>
          <w:rFonts w:cs="Arial"/>
          <w:b/>
          <w:bCs/>
          <w:sz w:val="16"/>
          <w:szCs w:val="16"/>
        </w:rPr>
        <w:t xml:space="preserve">                                             </w:t>
      </w:r>
      <w:r w:rsidR="00EA1C19">
        <w:rPr>
          <w:rFonts w:cs="Arial"/>
          <w:b/>
          <w:bCs/>
        </w:rPr>
        <w:t xml:space="preserve"> </w:t>
      </w:r>
      <w:r>
        <w:rPr>
          <w:rFonts w:cs="Arial"/>
          <w:b/>
          <w:bCs/>
        </w:rPr>
        <w:t>5</w:t>
      </w:r>
      <w:r w:rsidR="00EA1C19">
        <w:rPr>
          <w:rFonts w:cs="Arial"/>
          <w:b/>
          <w:bCs/>
        </w:rPr>
        <w:t>.2. Indices de loye</w:t>
      </w:r>
      <w:r w:rsidR="00C00C27">
        <w:rPr>
          <w:rFonts w:cs="Arial"/>
          <w:b/>
          <w:bCs/>
        </w:rPr>
        <w:t>r</w:t>
      </w:r>
    </w:p>
    <w:p w14:paraId="6CD84388" w14:textId="0DA7186B" w:rsidR="00EA1C19" w:rsidRDefault="00835EDD" w:rsidP="00EA1C19">
      <w:pPr>
        <w:rPr>
          <w:rFonts w:cs="Arial"/>
          <w:b/>
          <w:bCs/>
        </w:rPr>
      </w:pPr>
      <w:r>
        <w:pict w14:anchorId="3B92E6A5">
          <v:shape id="_x0000_i1038" type="#_x0000_t75" style="width:395.95pt;height:243.15pt" o:bordertopcolor="this" o:borderleftcolor="this" o:borderbottomcolor="this" o:borderrightcolor="this">
            <v:imagedata r:id="rId51" o:title="" croptop="4205f"/>
            <w10:bordertop type="single" width="4"/>
            <w10:borderleft type="single" width="4"/>
            <w10:borderbottom type="single" width="4"/>
            <w10:borderright type="single" width="4"/>
          </v:shape>
        </w:pict>
      </w:r>
      <w:r w:rsidR="00EA1C19">
        <w:t xml:space="preserve"> </w:t>
      </w:r>
      <w:r>
        <w:pict w14:anchorId="0761E974">
          <v:shape id="_x0000_i1039" type="#_x0000_t75" style="width:402.85pt;height:243.15pt" o:bordertopcolor="this" o:borderleftcolor="this" o:borderbottomcolor="this" o:borderrightcolor="this">
            <v:imagedata r:id="rId52" o:title="" croptop="4205f" cropbottom="650f" cropleft="251f" cropright="251f"/>
            <o:lock v:ext="edit" aspectratio="f"/>
            <w10:bordertop type="single" width="4"/>
            <w10:borderleft type="single" width="4"/>
            <w10:borderbottom type="single" width="4"/>
            <w10:borderright type="single" width="4"/>
          </v:shape>
        </w:pict>
      </w:r>
    </w:p>
    <w:p w14:paraId="3FA3B22A" w14:textId="53CD95F1" w:rsidR="00EA1C19" w:rsidRPr="00687485" w:rsidRDefault="00EA1C19" w:rsidP="00EA1C19">
      <w:pPr>
        <w:keepNext/>
        <w:keepLines/>
        <w:rPr>
          <w:rFonts w:cs="Arial"/>
          <w:sz w:val="14"/>
          <w:szCs w:val="14"/>
        </w:rPr>
      </w:pPr>
      <w:r w:rsidRPr="00687485">
        <w:rPr>
          <w:rFonts w:cs="Arial"/>
          <w:sz w:val="14"/>
          <w:szCs w:val="14"/>
        </w:rPr>
        <w:t xml:space="preserve">Source : </w:t>
      </w:r>
      <w:hyperlink r:id="rId53" w:history="1">
        <w:r w:rsidRPr="00EE57A4">
          <w:rPr>
            <w:rStyle w:val="Lienhypertexte"/>
            <w:rFonts w:cs="Arial"/>
            <w:color w:val="0000FF"/>
            <w:sz w:val="14"/>
            <w:szCs w:val="14"/>
            <w:u w:val="single"/>
          </w:rPr>
          <w:t>CGEDD</w:t>
        </w:r>
      </w:hyperlink>
      <w:r w:rsidRPr="00687485">
        <w:rPr>
          <w:rFonts w:cs="Arial"/>
          <w:sz w:val="14"/>
          <w:szCs w:val="14"/>
        </w:rPr>
        <w:t xml:space="preserve"> d’après INSEE, bases notariales, indices Notaires-INSEE désaisonnalisés, Freddie Mac, FHFA,</w:t>
      </w:r>
      <w:r>
        <w:rPr>
          <w:rFonts w:cs="Arial"/>
          <w:sz w:val="14"/>
          <w:szCs w:val="14"/>
        </w:rPr>
        <w:t xml:space="preserve"> R. Shiller,        </w:t>
      </w:r>
      <w:bookmarkStart w:id="2" w:name="_Hlk523639672"/>
      <w:r>
        <w:rPr>
          <w:rFonts w:cs="Arial"/>
          <w:sz w:val="14"/>
          <w:szCs w:val="14"/>
        </w:rPr>
        <w:t>Source : composantes « loyers des résidences principales » des indices des prix à la consommation, instituts statistiques nationaux</w:t>
      </w:r>
      <w:r w:rsidR="00652280">
        <w:rPr>
          <w:rFonts w:cs="Arial"/>
          <w:sz w:val="14"/>
          <w:szCs w:val="14"/>
        </w:rPr>
        <w:t>.</w:t>
      </w:r>
      <w:bookmarkEnd w:id="2"/>
    </w:p>
    <w:p w14:paraId="05F6D58B" w14:textId="77777777" w:rsidR="00EA1C19" w:rsidRPr="00CB088D" w:rsidRDefault="00EA1C19" w:rsidP="00EA1C19">
      <w:pPr>
        <w:widowControl w:val="0"/>
        <w:jc w:val="left"/>
        <w:rPr>
          <w:rFonts w:cs="Arial"/>
          <w:sz w:val="14"/>
          <w:szCs w:val="14"/>
          <w:lang w:val="en-US"/>
        </w:rPr>
      </w:pPr>
      <w:r w:rsidRPr="00CB088D">
        <w:rPr>
          <w:rFonts w:cs="Arial"/>
          <w:sz w:val="14"/>
          <w:szCs w:val="14"/>
          <w:lang w:val="en-US"/>
        </w:rPr>
        <w:t>S&amp;P/C-S, Census Bureau, Bureaus of Economic Analysis and Labor Statistics, UK Office for National Statistics, Nationwide,</w:t>
      </w:r>
    </w:p>
    <w:p w14:paraId="696AF8A1" w14:textId="77777777" w:rsidR="00EA1C19" w:rsidRPr="00687485" w:rsidRDefault="00EA1C19" w:rsidP="00EA1C19">
      <w:pPr>
        <w:jc w:val="left"/>
        <w:rPr>
          <w:rFonts w:cs="Arial"/>
          <w:sz w:val="16"/>
          <w:szCs w:val="16"/>
        </w:rPr>
      </w:pPr>
      <w:r w:rsidRPr="00EB43CD">
        <w:rPr>
          <w:sz w:val="14"/>
          <w:szCs w:val="14"/>
        </w:rPr>
        <w:t>Destatis,</w:t>
      </w:r>
      <w:r>
        <w:rPr>
          <w:sz w:val="14"/>
          <w:szCs w:val="14"/>
        </w:rPr>
        <w:t xml:space="preserve"> Gewos,</w:t>
      </w:r>
      <w:r w:rsidRPr="00EB43CD">
        <w:rPr>
          <w:sz w:val="14"/>
          <w:szCs w:val="14"/>
        </w:rPr>
        <w:t xml:space="preserve"> INE,</w:t>
      </w:r>
      <w:r>
        <w:rPr>
          <w:sz w:val="14"/>
          <w:szCs w:val="14"/>
        </w:rPr>
        <w:t xml:space="preserve"> Ministerio de Fomento, R. Vergé</w:t>
      </w:r>
      <w:r w:rsidRPr="00EB43CD">
        <w:rPr>
          <w:sz w:val="14"/>
          <w:szCs w:val="14"/>
        </w:rPr>
        <w:t>s, Centraal Bureau Voor de Statistiek.</w:t>
      </w:r>
      <w:r>
        <w:rPr>
          <w:sz w:val="14"/>
          <w:szCs w:val="14"/>
        </w:rPr>
        <w:t xml:space="preserve"> </w:t>
      </w:r>
      <w:r>
        <w:rPr>
          <w:sz w:val="16"/>
          <w:szCs w:val="16"/>
        </w:rPr>
        <w:t xml:space="preserve"> </w:t>
      </w:r>
      <w:r w:rsidRPr="001533E6">
        <w:rPr>
          <w:rFonts w:cs="Arial"/>
          <w:sz w:val="14"/>
          <w:szCs w:val="14"/>
        </w:rPr>
        <w:t>La méthodologie d</w:t>
      </w:r>
      <w:r>
        <w:rPr>
          <w:rFonts w:cs="Arial"/>
          <w:sz w:val="14"/>
          <w:szCs w:val="14"/>
        </w:rPr>
        <w:t>’un indice peut</w:t>
      </w:r>
    </w:p>
    <w:p w14:paraId="47D12F1A" w14:textId="77777777" w:rsidR="00EA1C19" w:rsidRPr="00687485" w:rsidRDefault="00EA1C19" w:rsidP="00EA1C19">
      <w:pPr>
        <w:jc w:val="left"/>
        <w:rPr>
          <w:rFonts w:cs="Arial"/>
          <w:sz w:val="16"/>
          <w:szCs w:val="16"/>
        </w:rPr>
      </w:pPr>
      <w:r w:rsidRPr="001533E6">
        <w:rPr>
          <w:rFonts w:cs="Arial"/>
          <w:sz w:val="14"/>
          <w:szCs w:val="14"/>
        </w:rPr>
        <w:t>influer sur sa croissance tendancielle: les différences entre</w:t>
      </w:r>
      <w:r w:rsidRPr="001533E6">
        <w:rPr>
          <w:sz w:val="14"/>
          <w:szCs w:val="14"/>
        </w:rPr>
        <w:t xml:space="preserve"> les </w:t>
      </w:r>
      <w:r w:rsidRPr="001533E6">
        <w:rPr>
          <w:rFonts w:cs="Arial"/>
          <w:sz w:val="14"/>
          <w:szCs w:val="14"/>
        </w:rPr>
        <w:t>tendances longues des divers</w:t>
      </w:r>
      <w:r>
        <w:rPr>
          <w:rFonts w:cs="Arial"/>
          <w:sz w:val="14"/>
          <w:szCs w:val="14"/>
        </w:rPr>
        <w:t xml:space="preserve"> indices représentés sur ce </w:t>
      </w:r>
    </w:p>
    <w:p w14:paraId="3F08C087" w14:textId="33399119" w:rsidR="00EA1C19" w:rsidRDefault="00EA1C19" w:rsidP="00EA1C19">
      <w:pPr>
        <w:widowControl w:val="0"/>
        <w:rPr>
          <w:rFonts w:cs="Arial"/>
          <w:sz w:val="14"/>
          <w:szCs w:val="14"/>
        </w:rPr>
      </w:pPr>
      <w:r>
        <w:rPr>
          <w:rFonts w:cs="Arial"/>
          <w:sz w:val="14"/>
          <w:szCs w:val="14"/>
        </w:rPr>
        <w:t>graphique p</w:t>
      </w:r>
      <w:r w:rsidRPr="001533E6">
        <w:rPr>
          <w:rFonts w:cs="Arial"/>
          <w:sz w:val="14"/>
          <w:szCs w:val="14"/>
        </w:rPr>
        <w:t>euvent être causées au moins pour partie par des différences de méthodologie. Cf. § 2.3.2. de</w:t>
      </w:r>
      <w:r w:rsidRPr="001533E6">
        <w:rPr>
          <w:sz w:val="14"/>
          <w:szCs w:val="14"/>
        </w:rPr>
        <w:t xml:space="preserve"> </w:t>
      </w:r>
      <w:r>
        <w:rPr>
          <w:sz w:val="14"/>
          <w:szCs w:val="14"/>
        </w:rPr>
        <w:t>[3]</w:t>
      </w:r>
      <w:r w:rsidRPr="001533E6">
        <w:rPr>
          <w:rFonts w:cs="Arial"/>
          <w:sz w:val="14"/>
          <w:szCs w:val="14"/>
        </w:rPr>
        <w:t>.</w:t>
      </w:r>
    </w:p>
    <w:p w14:paraId="4DCECAD7" w14:textId="1E082E5F" w:rsidR="00EA1C19" w:rsidRDefault="002A46B1" w:rsidP="00EA1C19">
      <w:pPr>
        <w:rPr>
          <w:rFonts w:cs="Arial"/>
          <w:b/>
          <w:bCs/>
        </w:rPr>
      </w:pPr>
      <w:r>
        <w:rPr>
          <w:rFonts w:cs="Arial"/>
          <w:b/>
          <w:bCs/>
        </w:rPr>
        <w:t>5</w:t>
      </w:r>
      <w:r w:rsidR="00EA1C19">
        <w:rPr>
          <w:rFonts w:cs="Arial"/>
          <w:b/>
          <w:bCs/>
        </w:rPr>
        <w:t>.3. Dette immobilière des ménages</w:t>
      </w:r>
    </w:p>
    <w:p w14:paraId="1148851B" w14:textId="30DFD046" w:rsidR="00EA1C19" w:rsidRDefault="00835EDD" w:rsidP="00EA1C19">
      <w:pPr>
        <w:rPr>
          <w:b/>
          <w:bCs/>
        </w:rPr>
      </w:pPr>
      <w:r>
        <w:rPr>
          <w:sz w:val="16"/>
          <w:szCs w:val="16"/>
        </w:rPr>
        <w:pict w14:anchorId="60DD9D13">
          <v:shape id="_x0000_i1040" type="#_x0000_t75" style="width:395.95pt;height:243.15pt" o:bordertopcolor="this" o:borderleftcolor="this" o:borderbottomcolor="this" o:borderrightcolor="this">
            <v:imagedata r:id="rId54" o:title="" croptop="4205f" cropbottom="764f"/>
            <o:lock v:ext="edit" aspectratio="f"/>
            <w10:bordertop type="single" width="4"/>
            <w10:borderleft type="single" width="4"/>
            <w10:borderbottom type="single" width="4"/>
            <w10:borderright type="single" width="4"/>
          </v:shape>
        </w:pict>
      </w:r>
    </w:p>
    <w:p w14:paraId="26271EF9" w14:textId="21BD3C1B" w:rsidR="00EA1C19" w:rsidRDefault="00EA1C19" w:rsidP="00EA1C19">
      <w:pPr>
        <w:widowControl w:val="0"/>
        <w:jc w:val="left"/>
        <w:rPr>
          <w:rFonts w:cs="Arial"/>
          <w:sz w:val="16"/>
          <w:szCs w:val="16"/>
        </w:rPr>
      </w:pPr>
      <w:bookmarkStart w:id="3" w:name="_Hlk523639354"/>
      <w:r w:rsidRPr="00A46B19">
        <w:rPr>
          <w:rFonts w:cs="Arial"/>
          <w:sz w:val="14"/>
          <w:szCs w:val="14"/>
        </w:rPr>
        <w:t xml:space="preserve">Source : </w:t>
      </w:r>
      <w:hyperlink r:id="rId55" w:history="1">
        <w:r w:rsidRPr="00EE57A4">
          <w:rPr>
            <w:rStyle w:val="Lienhypertexte"/>
            <w:rFonts w:cs="Arial"/>
            <w:color w:val="0000FF"/>
            <w:sz w:val="14"/>
            <w:szCs w:val="14"/>
            <w:u w:val="single"/>
          </w:rPr>
          <w:t>CGEDD</w:t>
        </w:r>
      </w:hyperlink>
      <w:r w:rsidRPr="00A46B19">
        <w:rPr>
          <w:rFonts w:cs="Arial"/>
          <w:sz w:val="14"/>
          <w:szCs w:val="14"/>
        </w:rPr>
        <w:t xml:space="preserve"> d’après </w:t>
      </w:r>
      <w:r>
        <w:rPr>
          <w:rFonts w:cs="Arial"/>
          <w:sz w:val="14"/>
          <w:szCs w:val="14"/>
        </w:rPr>
        <w:t>instituts statistiques et banques centrales nationaux</w:t>
      </w:r>
      <w:bookmarkEnd w:id="3"/>
      <w:r>
        <w:rPr>
          <w:rFonts w:cs="Arial"/>
          <w:sz w:val="14"/>
          <w:szCs w:val="14"/>
        </w:rPr>
        <w:t xml:space="preserve">                                                                                  </w:t>
      </w:r>
    </w:p>
    <w:p w14:paraId="45DBF8D8" w14:textId="149E98F3" w:rsidR="00FC1ECC" w:rsidRDefault="002A46B1" w:rsidP="00FC1ECC">
      <w:pPr>
        <w:widowControl w:val="0"/>
        <w:rPr>
          <w:rFonts w:cs="Arial"/>
          <w:b/>
          <w:bCs/>
        </w:rPr>
      </w:pPr>
      <w:r>
        <w:rPr>
          <w:rFonts w:cs="Arial"/>
          <w:b/>
          <w:bCs/>
        </w:rPr>
        <w:lastRenderedPageBreak/>
        <w:t>6</w:t>
      </w:r>
      <w:r w:rsidR="00FC1ECC">
        <w:rPr>
          <w:rFonts w:cs="Arial"/>
          <w:b/>
          <w:bCs/>
        </w:rPr>
        <w:t xml:space="preserve">. </w:t>
      </w:r>
      <w:r w:rsidR="00274032">
        <w:rPr>
          <w:rFonts w:cs="Arial"/>
          <w:b/>
          <w:bCs/>
        </w:rPr>
        <w:t xml:space="preserve">Volumes                                                                                                                                              </w:t>
      </w:r>
      <w:r w:rsidR="00544B46">
        <w:rPr>
          <w:rFonts w:cs="Arial"/>
          <w:b/>
          <w:bCs/>
        </w:rPr>
        <w:t xml:space="preserve">    </w:t>
      </w:r>
      <w:r w:rsidR="00FC1ECC">
        <w:rPr>
          <w:rFonts w:cs="Arial"/>
          <w:b/>
          <w:bCs/>
        </w:rPr>
        <w:t xml:space="preserve">                       </w:t>
      </w:r>
      <w:r w:rsidR="009A2317">
        <w:rPr>
          <w:rFonts w:cs="Arial"/>
          <w:b/>
          <w:bCs/>
        </w:rPr>
        <w:t xml:space="preserve">                     </w:t>
      </w:r>
      <w:r w:rsidR="00FC1ECC">
        <w:rPr>
          <w:rFonts w:cs="Arial"/>
          <w:b/>
          <w:bCs/>
        </w:rPr>
        <w:t xml:space="preserve">                                                                    </w:t>
      </w:r>
      <w:r w:rsidR="00671505">
        <w:rPr>
          <w:rFonts w:cs="Arial"/>
          <w:b/>
          <w:bCs/>
        </w:rPr>
        <w:t xml:space="preserve">  </w:t>
      </w:r>
      <w:r w:rsidR="003F746B" w:rsidRPr="00D26E64">
        <w:rPr>
          <w:rFonts w:cs="Arial"/>
          <w:bCs/>
          <w:sz w:val="18"/>
        </w:rPr>
        <w:t xml:space="preserve">Page </w:t>
      </w:r>
      <w:r w:rsidR="00774098">
        <w:rPr>
          <w:rFonts w:cs="Arial"/>
          <w:bCs/>
          <w:sz w:val="18"/>
        </w:rPr>
        <w:t>6</w:t>
      </w:r>
    </w:p>
    <w:p w14:paraId="22E64DC3" w14:textId="021D5D71" w:rsidR="00FC1ECC" w:rsidRDefault="002A46B1" w:rsidP="00FC1ECC">
      <w:pPr>
        <w:jc w:val="left"/>
        <w:rPr>
          <w:b/>
          <w:bCs/>
        </w:rPr>
      </w:pPr>
      <w:r>
        <w:rPr>
          <w:rFonts w:cs="Arial"/>
          <w:b/>
          <w:bCs/>
        </w:rPr>
        <w:t>6</w:t>
      </w:r>
      <w:r w:rsidR="0013212F">
        <w:rPr>
          <w:rFonts w:cs="Arial"/>
          <w:b/>
          <w:bCs/>
        </w:rPr>
        <w:t>.1</w:t>
      </w:r>
      <w:r w:rsidR="00A9335C">
        <w:rPr>
          <w:rFonts w:cs="Arial"/>
          <w:b/>
          <w:bCs/>
        </w:rPr>
        <w:t>.</w:t>
      </w:r>
      <w:r w:rsidR="00745088">
        <w:rPr>
          <w:rFonts w:cs="Arial"/>
          <w:b/>
          <w:bCs/>
        </w:rPr>
        <w:t>V</w:t>
      </w:r>
      <w:r w:rsidR="00745088" w:rsidRPr="00240477">
        <w:rPr>
          <w:rFonts w:cs="Arial"/>
          <w:b/>
          <w:bCs/>
        </w:rPr>
        <w:t xml:space="preserve">entes de logements anciens et </w:t>
      </w:r>
      <w:r w:rsidR="00745088">
        <w:rPr>
          <w:rFonts w:cs="Arial"/>
          <w:b/>
          <w:bCs/>
        </w:rPr>
        <w:t xml:space="preserve">construction </w:t>
      </w:r>
      <w:r w:rsidR="00745088" w:rsidRPr="00240477">
        <w:rPr>
          <w:rFonts w:cs="Arial"/>
          <w:b/>
          <w:bCs/>
        </w:rPr>
        <w:t>de</w:t>
      </w:r>
      <w:r w:rsidR="00745088">
        <w:rPr>
          <w:rFonts w:cs="Arial"/>
          <w:b/>
          <w:bCs/>
        </w:rPr>
        <w:t xml:space="preserve"> logements neufs</w:t>
      </w:r>
      <w:r w:rsidR="00274032" w:rsidRPr="00274032">
        <w:rPr>
          <w:rFonts w:cs="Arial"/>
          <w:b/>
          <w:bCs/>
        </w:rPr>
        <w:t xml:space="preserve"> </w:t>
      </w:r>
      <w:r w:rsidR="00745088">
        <w:rPr>
          <w:rFonts w:cs="Arial"/>
          <w:b/>
          <w:bCs/>
        </w:rPr>
        <w:t xml:space="preserve">                         </w:t>
      </w:r>
      <w:r>
        <w:rPr>
          <w:rFonts w:cs="Arial"/>
          <w:b/>
          <w:bCs/>
        </w:rPr>
        <w:t>6</w:t>
      </w:r>
      <w:r w:rsidR="0013212F">
        <w:rPr>
          <w:rFonts w:cs="Arial"/>
          <w:b/>
          <w:bCs/>
        </w:rPr>
        <w:t>.2</w:t>
      </w:r>
      <w:r w:rsidR="00F9095F">
        <w:rPr>
          <w:rFonts w:cs="Arial"/>
          <w:b/>
          <w:bCs/>
        </w:rPr>
        <w:t xml:space="preserve">. </w:t>
      </w:r>
      <w:r w:rsidR="0078702A">
        <w:rPr>
          <w:rFonts w:cs="Arial"/>
          <w:b/>
          <w:bCs/>
        </w:rPr>
        <w:t>Vitesse de rotation du parc de logements</w:t>
      </w:r>
      <w:r w:rsidR="00745088">
        <w:rPr>
          <w:rFonts w:cs="Arial"/>
          <w:b/>
          <w:bCs/>
        </w:rPr>
        <w:t xml:space="preserve"> ancien</w:t>
      </w:r>
      <w:r w:rsidR="00556754">
        <w:rPr>
          <w:rFonts w:cs="Arial"/>
          <w:b/>
          <w:bCs/>
        </w:rPr>
        <w:t>s</w:t>
      </w:r>
    </w:p>
    <w:p w14:paraId="7841FCC4" w14:textId="798E4439" w:rsidR="00FC1ECC" w:rsidRDefault="005C7DA2" w:rsidP="00FC1ECC">
      <w:pPr>
        <w:jc w:val="left"/>
      </w:pPr>
      <w:r>
        <w:rPr>
          <w:rFonts w:cs="Arial"/>
          <w:noProof/>
          <w:sz w:val="16"/>
          <w:szCs w:val="16"/>
        </w:rPr>
        <mc:AlternateContent>
          <mc:Choice Requires="wps">
            <w:drawing>
              <wp:anchor distT="0" distB="0" distL="114300" distR="114300" simplePos="0" relativeHeight="251659264" behindDoc="0" locked="0" layoutInCell="1" allowOverlap="1" wp14:anchorId="52D12759" wp14:editId="5497EA91">
                <wp:simplePos x="0" y="0"/>
                <wp:positionH relativeFrom="column">
                  <wp:posOffset>2497428</wp:posOffset>
                </wp:positionH>
                <wp:positionV relativeFrom="paragraph">
                  <wp:posOffset>2173577</wp:posOffset>
                </wp:positionV>
                <wp:extent cx="0" cy="2162175"/>
                <wp:effectExtent l="76200" t="0" r="76200" b="47625"/>
                <wp:wrapNone/>
                <wp:docPr id="2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line">
                          <a:avLst/>
                        </a:prstGeom>
                        <a:noFill/>
                        <a:ln w="76200">
                          <a:solidFill>
                            <a:schemeClr val="tx2">
                              <a:lumMod val="60000"/>
                              <a:lumOff val="40000"/>
                              <a:alpha val="46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0485" id="Line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71.15pt" to="196.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" strokecolor="#548dd4 [1951]" strokeweight="6pt">
                <v:stroke endarrow="block" opacity="30069f"/>
              </v:line>
            </w:pict>
          </mc:Fallback>
        </mc:AlternateContent>
      </w:r>
      <w:r w:rsidR="00127D5C">
        <w:rPr>
          <w:rFonts w:cs="Arial"/>
          <w:noProof/>
          <w:sz w:val="16"/>
          <w:szCs w:val="16"/>
        </w:rPr>
        <mc:AlternateContent>
          <mc:Choice Requires="wps">
            <w:drawing>
              <wp:anchor distT="0" distB="0" distL="114300" distR="114300" simplePos="0" relativeHeight="251665408" behindDoc="0" locked="0" layoutInCell="1" allowOverlap="1" wp14:anchorId="276E26B7" wp14:editId="77BE57F3">
                <wp:simplePos x="0" y="0"/>
                <wp:positionH relativeFrom="column">
                  <wp:posOffset>4187825</wp:posOffset>
                </wp:positionH>
                <wp:positionV relativeFrom="paragraph">
                  <wp:posOffset>775970</wp:posOffset>
                </wp:positionV>
                <wp:extent cx="2520950" cy="4666615"/>
                <wp:effectExtent l="38100" t="19050" r="69850" b="38735"/>
                <wp:wrapNone/>
                <wp:docPr id="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466661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8DE5" id="Line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pt" to="528.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" strokecolor="black [3213]" strokeweight="6pt">
                <v:stroke endarrow="block" opacity="20303f"/>
              </v:line>
            </w:pict>
          </mc:Fallback>
        </mc:AlternateContent>
      </w:r>
      <w:r w:rsidR="00127D5C">
        <w:rPr>
          <w:rFonts w:cs="Arial"/>
          <w:noProof/>
          <w:sz w:val="16"/>
          <w:szCs w:val="16"/>
        </w:rPr>
        <mc:AlternateContent>
          <mc:Choice Requires="wps">
            <w:drawing>
              <wp:anchor distT="0" distB="0" distL="114300" distR="114300" simplePos="0" relativeHeight="251663360" behindDoc="0" locked="0" layoutInCell="1" allowOverlap="1" wp14:anchorId="2E2D6C0B" wp14:editId="5DBE22AC">
                <wp:simplePos x="0" y="0"/>
                <wp:positionH relativeFrom="column">
                  <wp:posOffset>4283075</wp:posOffset>
                </wp:positionH>
                <wp:positionV relativeFrom="paragraph">
                  <wp:posOffset>704850</wp:posOffset>
                </wp:positionV>
                <wp:extent cx="3133725" cy="14605"/>
                <wp:effectExtent l="0" t="152400" r="0" b="156845"/>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460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9A96" id="Line 7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55.5pt" to="58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" strokecolor="black [3213]" strokeweight="6pt">
                <v:stroke endarrow="block" opacity="20303f"/>
              </v:line>
            </w:pict>
          </mc:Fallback>
        </mc:AlternateContent>
      </w:r>
      <w:r w:rsidR="00835EDD">
        <w:rPr>
          <w:rFonts w:cs="Arial"/>
          <w:b/>
          <w:bCs/>
          <w:sz w:val="14"/>
          <w:szCs w:val="14"/>
        </w:rPr>
        <w:pict w14:anchorId="5726761E">
          <v:shape id="_x0000_i1041" type="#_x0000_t75" style="width:395.9pt;height:238.4pt" o:bordertopcolor="this" o:borderleftcolor="this" o:borderbottomcolor="this" o:borderrightcolor="this">
            <v:imagedata r:id="rId56" o:title="" croptop="820f" cropbottom="861f"/>
            <w10:bordertop type="single" width="4"/>
            <w10:borderleft type="single" width="4"/>
            <w10:borderbottom type="single" width="4"/>
            <w10:borderright type="single" width="4"/>
          </v:shape>
        </w:pict>
      </w:r>
      <w:r w:rsidR="00E81C7D">
        <w:rPr>
          <w:rFonts w:cs="Arial"/>
          <w:sz w:val="16"/>
          <w:szCs w:val="16"/>
        </w:rPr>
        <w:t xml:space="preserve"> </w:t>
      </w:r>
      <w:r w:rsidR="00835EDD">
        <w:rPr>
          <w:rFonts w:cs="Arial"/>
          <w:sz w:val="16"/>
          <w:szCs w:val="16"/>
        </w:rPr>
        <w:pict w14:anchorId="6A1A7D42">
          <v:shape id="_x0000_i1042" type="#_x0000_t75" style="width:403.55pt;height:238.4pt" o:bordertopcolor="this" o:borderleftcolor="this" o:borderbottomcolor="this" o:borderrightcolor="this">
            <v:imagedata r:id="rId57" o:title="" croptop="820f" cropbottom="820f"/>
            <o:lock v:ext="edit" aspectratio="f"/>
            <w10:bordertop type="single" width="4"/>
            <w10:borderleft type="single" width="4"/>
            <w10:borderbottom type="single" width="4"/>
            <w10:borderright type="single" width="4"/>
          </v:shape>
        </w:pict>
      </w:r>
    </w:p>
    <w:p w14:paraId="168ADD9F" w14:textId="593688CB" w:rsidR="00F9095F" w:rsidRPr="00982ED4" w:rsidRDefault="00A655FA" w:rsidP="00F9095F">
      <w:pPr>
        <w:rPr>
          <w:rFonts w:cs="Arial"/>
          <w:sz w:val="16"/>
          <w:szCs w:val="16"/>
        </w:rPr>
      </w:pPr>
      <w:r w:rsidRPr="00982ED4">
        <w:rPr>
          <w:rFonts w:cs="Arial"/>
          <w:sz w:val="16"/>
          <w:szCs w:val="16"/>
        </w:rPr>
        <w:t xml:space="preserve">Source: </w:t>
      </w:r>
      <w:hyperlink r:id="rId58" w:history="1">
        <w:r w:rsidRPr="00982ED4">
          <w:rPr>
            <w:rStyle w:val="Lienhypertexte"/>
            <w:rFonts w:cs="Arial"/>
            <w:color w:val="0000FF"/>
            <w:sz w:val="16"/>
            <w:szCs w:val="16"/>
            <w:u w:val="single"/>
          </w:rPr>
          <w:t>CGEDD</w:t>
        </w:r>
      </w:hyperlink>
      <w:r w:rsidR="00277506" w:rsidRPr="00982ED4">
        <w:rPr>
          <w:rFonts w:cs="Arial"/>
          <w:sz w:val="16"/>
          <w:szCs w:val="16"/>
        </w:rPr>
        <w:t xml:space="preserve"> d’après CGDD/S</w:t>
      </w:r>
      <w:r w:rsidR="00423A73" w:rsidRPr="00982ED4">
        <w:rPr>
          <w:rFonts w:cs="Arial"/>
          <w:sz w:val="16"/>
          <w:szCs w:val="16"/>
        </w:rPr>
        <w:t>DES</w:t>
      </w:r>
      <w:r w:rsidR="00277506" w:rsidRPr="00982ED4">
        <w:rPr>
          <w:rFonts w:cs="Arial"/>
          <w:sz w:val="16"/>
          <w:szCs w:val="16"/>
        </w:rPr>
        <w:t>, DGFi</w:t>
      </w:r>
      <w:r w:rsidR="00423A73" w:rsidRPr="00982ED4">
        <w:rPr>
          <w:rFonts w:cs="Arial"/>
          <w:sz w:val="16"/>
          <w:szCs w:val="16"/>
        </w:rPr>
        <w:t>P</w:t>
      </w:r>
      <w:r w:rsidR="00982ED4" w:rsidRPr="00982ED4">
        <w:rPr>
          <w:rFonts w:cs="Arial"/>
          <w:sz w:val="16"/>
          <w:szCs w:val="16"/>
        </w:rPr>
        <w:t>,</w:t>
      </w:r>
      <w:r w:rsidR="00277506" w:rsidRPr="00982ED4">
        <w:rPr>
          <w:rFonts w:cs="Arial"/>
          <w:sz w:val="16"/>
          <w:szCs w:val="16"/>
        </w:rPr>
        <w:t xml:space="preserve"> bases notariales</w:t>
      </w:r>
      <w:r w:rsidR="00982ED4" w:rsidRPr="00982ED4">
        <w:rPr>
          <w:rFonts w:cs="Arial"/>
          <w:sz w:val="16"/>
          <w:szCs w:val="16"/>
        </w:rPr>
        <w:t>,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r w:rsidR="00DB2EF3">
        <w:rPr>
          <w:rFonts w:cs="Arial"/>
          <w:sz w:val="16"/>
          <w:szCs w:val="16"/>
        </w:rPr>
        <w:t xml:space="preserve">                        </w:t>
      </w:r>
      <w:r w:rsidR="00277506" w:rsidRPr="00982ED4">
        <w:rPr>
          <w:rFonts w:cs="Arial"/>
          <w:sz w:val="16"/>
          <w:szCs w:val="16"/>
        </w:rPr>
        <w:t xml:space="preserve"> </w:t>
      </w:r>
      <w:r w:rsidR="00982ED4" w:rsidRPr="00982ED4">
        <w:rPr>
          <w:rFonts w:cs="Arial"/>
          <w:sz w:val="16"/>
          <w:szCs w:val="16"/>
        </w:rPr>
        <w:t xml:space="preserve"> Source: </w:t>
      </w:r>
      <w:hyperlink r:id="rId59" w:history="1">
        <w:r w:rsidR="00982ED4" w:rsidRPr="00982ED4">
          <w:rPr>
            <w:rStyle w:val="Lienhypertexte"/>
            <w:rFonts w:cs="Arial"/>
            <w:color w:val="0000FF"/>
            <w:sz w:val="16"/>
            <w:szCs w:val="16"/>
            <w:u w:val="single"/>
          </w:rPr>
          <w:t>CGEDD</w:t>
        </w:r>
      </w:hyperlink>
      <w:r w:rsidR="00982ED4" w:rsidRPr="00982ED4">
        <w:rPr>
          <w:rFonts w:cs="Arial"/>
          <w:sz w:val="16"/>
          <w:szCs w:val="16"/>
        </w:rPr>
        <w:t xml:space="preserve"> d’après CGDD/SDES, DGFiP, bases notariales,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p>
    <w:p w14:paraId="6864DE52" w14:textId="43BB6BE7" w:rsidR="00A83113" w:rsidRDefault="002A46B1" w:rsidP="004B4C8B">
      <w:pPr>
        <w:spacing w:line="192" w:lineRule="auto"/>
        <w:rPr>
          <w:b/>
          <w:bCs/>
        </w:rPr>
      </w:pPr>
      <w:r>
        <w:rPr>
          <w:b/>
          <w:bCs/>
        </w:rPr>
        <w:t>6</w:t>
      </w:r>
      <w:r w:rsidR="00A83113">
        <w:rPr>
          <w:b/>
          <w:bCs/>
        </w:rPr>
        <w:t>.</w:t>
      </w:r>
      <w:r w:rsidR="000A5AAA">
        <w:rPr>
          <w:b/>
          <w:bCs/>
        </w:rPr>
        <w:t>3</w:t>
      </w:r>
      <w:r w:rsidR="00A83113">
        <w:rPr>
          <w:b/>
          <w:bCs/>
        </w:rPr>
        <w:t xml:space="preserve"> </w:t>
      </w:r>
      <w:r w:rsidR="00745088">
        <w:rPr>
          <w:b/>
          <w:bCs/>
        </w:rPr>
        <w:t xml:space="preserve">Construction de logements neufs et croissance du parc de logements          </w:t>
      </w:r>
      <w:r w:rsidR="00371BE9">
        <w:rPr>
          <w:b/>
          <w:bCs/>
        </w:rPr>
        <w:t xml:space="preserve">    </w:t>
      </w:r>
      <w:r w:rsidR="00435950">
        <w:rPr>
          <w:b/>
          <w:bCs/>
        </w:rPr>
        <w:t xml:space="preserve"> </w:t>
      </w:r>
      <w:r w:rsidR="00371BE9">
        <w:rPr>
          <w:b/>
          <w:bCs/>
        </w:rPr>
        <w:t xml:space="preserve"> </w:t>
      </w:r>
      <w:r w:rsidR="00810F3C">
        <w:rPr>
          <w:b/>
          <w:bCs/>
        </w:rPr>
        <w:t xml:space="preserve"> </w:t>
      </w:r>
      <w:r>
        <w:rPr>
          <w:b/>
          <w:bCs/>
        </w:rPr>
        <w:t>6</w:t>
      </w:r>
      <w:r w:rsidR="00FC1ECC">
        <w:rPr>
          <w:b/>
          <w:bCs/>
        </w:rPr>
        <w:t>.</w:t>
      </w:r>
      <w:r w:rsidR="000A5AAA">
        <w:rPr>
          <w:b/>
          <w:bCs/>
        </w:rPr>
        <w:t>4</w:t>
      </w:r>
      <w:r w:rsidR="00FC1ECC">
        <w:rPr>
          <w:b/>
          <w:bCs/>
        </w:rPr>
        <w:t xml:space="preserve">. </w:t>
      </w:r>
      <w:r w:rsidR="00931291" w:rsidRPr="00274032">
        <w:rPr>
          <w:rFonts w:cs="Arial"/>
          <w:b/>
          <w:bCs/>
        </w:rPr>
        <w:t xml:space="preserve">Nombre de ventes immobilières soumises au droit de mutation de droit commun </w:t>
      </w:r>
    </w:p>
    <w:p w14:paraId="44F1D937" w14:textId="1E475FE0" w:rsidR="00EA0B9E" w:rsidRDefault="00835EDD" w:rsidP="00FC1ECC">
      <w:pPr>
        <w:rPr>
          <w:rFonts w:cs="Arial"/>
          <w:sz w:val="16"/>
          <w:szCs w:val="16"/>
        </w:rPr>
      </w:pPr>
      <w:r>
        <w:rPr>
          <w:rFonts w:cs="Arial"/>
          <w:sz w:val="16"/>
          <w:szCs w:val="16"/>
        </w:rPr>
        <w:pict w14:anchorId="4F08C3AB">
          <v:shape id="_x0000_i1043" type="#_x0000_t75" style="width:395.9pt;height:244.75pt" o:bordertopcolor="this" o:borderleftcolor="this" o:borderbottomcolor="this" o:borderrightcolor="this">
            <v:imagedata r:id="rId60" o:title="" cropbottom="411f"/>
            <w10:bordertop type="single" width="4"/>
            <w10:borderleft type="single" width="4"/>
            <w10:borderbottom type="single" width="4"/>
            <w10:borderright type="single" width="4"/>
          </v:shape>
        </w:pict>
      </w:r>
      <w:r w:rsidR="00745088">
        <w:rPr>
          <w:rFonts w:cs="Arial"/>
          <w:sz w:val="16"/>
          <w:szCs w:val="16"/>
        </w:rPr>
        <w:t xml:space="preserve"> </w:t>
      </w:r>
      <w:r>
        <w:rPr>
          <w:rFonts w:cs="Arial"/>
          <w:sz w:val="16"/>
          <w:szCs w:val="16"/>
        </w:rPr>
        <w:pict w14:anchorId="2626ED38">
          <v:shape id="_x0000_i1044" type="#_x0000_t75" style="width:402.85pt;height:243.15pt" o:bordertopcolor="this" o:borderleftcolor="this" o:borderbottomcolor="this" o:borderrightcolor="this">
            <v:imagedata r:id="rId61" o:title="" croptop="3440f" cropbottom="764f"/>
            <w10:bordertop type="single" width="4"/>
            <w10:borderleft type="single" width="4"/>
            <w10:borderbottom type="single" width="4"/>
            <w10:borderright type="single" width="4"/>
          </v:shape>
        </w:pict>
      </w:r>
    </w:p>
    <w:p w14:paraId="0D26DAEB" w14:textId="25A0EA2B" w:rsidR="00A2352D" w:rsidRPr="00982ED4" w:rsidRDefault="00745088" w:rsidP="00435950">
      <w:pPr>
        <w:rPr>
          <w:sz w:val="16"/>
          <w:szCs w:val="16"/>
        </w:rPr>
      </w:pPr>
      <w:bookmarkStart w:id="4" w:name="_Hlk27746380"/>
      <w:r w:rsidRPr="00982ED4">
        <w:rPr>
          <w:rFonts w:cs="Arial"/>
          <w:sz w:val="16"/>
          <w:szCs w:val="16"/>
        </w:rPr>
        <w:t xml:space="preserve">Source : </w:t>
      </w:r>
      <w:hyperlink r:id="rId62" w:history="1">
        <w:r w:rsidRPr="00982ED4">
          <w:rPr>
            <w:rStyle w:val="Lienhypertexte"/>
            <w:rFonts w:cs="Arial"/>
            <w:color w:val="0000FF"/>
            <w:sz w:val="16"/>
            <w:szCs w:val="16"/>
            <w:u w:val="single"/>
          </w:rPr>
          <w:t>CGEDD</w:t>
        </w:r>
      </w:hyperlink>
      <w:r w:rsidRPr="00982ED4">
        <w:rPr>
          <w:rFonts w:cs="Arial"/>
          <w:sz w:val="16"/>
          <w:szCs w:val="16"/>
        </w:rPr>
        <w:t xml:space="preserve"> d’après </w:t>
      </w:r>
      <w:hyperlink r:id="rId63" w:history="1">
        <w:r w:rsidRPr="00982ED4">
          <w:rPr>
            <w:rStyle w:val="Lienhypertexte"/>
            <w:rFonts w:cs="Arial"/>
            <w:color w:val="0000FF"/>
            <w:sz w:val="16"/>
            <w:szCs w:val="16"/>
            <w:u w:val="single"/>
          </w:rPr>
          <w:t>CGDD/S</w:t>
        </w:r>
        <w:r w:rsidR="00982ED4" w:rsidRPr="00982ED4">
          <w:rPr>
            <w:rStyle w:val="Lienhypertexte"/>
            <w:rFonts w:cs="Arial"/>
            <w:color w:val="0000FF"/>
            <w:sz w:val="16"/>
            <w:szCs w:val="16"/>
            <w:u w:val="single"/>
          </w:rPr>
          <w:t>DE</w:t>
        </w:r>
        <w:r w:rsidRPr="00982ED4">
          <w:rPr>
            <w:rStyle w:val="Lienhypertexte"/>
            <w:rFonts w:cs="Arial"/>
            <w:color w:val="0000FF"/>
            <w:sz w:val="16"/>
            <w:szCs w:val="16"/>
            <w:u w:val="single"/>
          </w:rPr>
          <w:t>S</w:t>
        </w:r>
      </w:hyperlink>
      <w:r w:rsidR="00982ED4" w:rsidRPr="00982ED4">
        <w:rPr>
          <w:rFonts w:cs="Arial"/>
          <w:sz w:val="16"/>
          <w:szCs w:val="16"/>
        </w:rPr>
        <w:t>(Sitadel et</w:t>
      </w:r>
      <w:r w:rsidRPr="00982ED4">
        <w:rPr>
          <w:rFonts w:cs="Arial"/>
          <w:sz w:val="16"/>
          <w:szCs w:val="16"/>
        </w:rPr>
        <w:t xml:space="preserve"> Compte du logement</w:t>
      </w:r>
      <w:r w:rsidR="00982ED4" w:rsidRPr="00982ED4">
        <w:rPr>
          <w:rFonts w:cs="Arial"/>
          <w:sz w:val="16"/>
          <w:szCs w:val="16"/>
        </w:rPr>
        <w:t>)</w:t>
      </w:r>
      <w:r w:rsidRPr="00982ED4">
        <w:rPr>
          <w:rFonts w:cs="Arial"/>
          <w:sz w:val="16"/>
          <w:szCs w:val="16"/>
        </w:rPr>
        <w:t xml:space="preserve"> et INSEE. </w:t>
      </w:r>
      <w:r w:rsidR="00423A73" w:rsidRPr="00982ED4">
        <w:rPr>
          <w:sz w:val="16"/>
          <w:szCs w:val="16"/>
        </w:rPr>
        <w:t>Le nombre</w:t>
      </w:r>
      <w:r w:rsidR="003A6504" w:rsidRPr="00982ED4">
        <w:rPr>
          <w:sz w:val="16"/>
          <w:szCs w:val="16"/>
        </w:rPr>
        <w:t xml:space="preserve"> </w:t>
      </w:r>
      <w:r w:rsidR="00982ED4" w:rsidRPr="00982ED4">
        <w:rPr>
          <w:rFonts w:cs="Arial"/>
          <w:sz w:val="16"/>
          <w:szCs w:val="16"/>
        </w:rPr>
        <w:t>de logements</w:t>
      </w:r>
      <w:r w:rsidR="00982ED4" w:rsidRPr="00982ED4">
        <w:rPr>
          <w:sz w:val="16"/>
          <w:szCs w:val="16"/>
        </w:rPr>
        <w:t xml:space="preserve">        </w:t>
      </w:r>
      <w:r w:rsidR="008D2CFE" w:rsidRPr="00982ED4">
        <w:rPr>
          <w:sz w:val="16"/>
          <w:szCs w:val="16"/>
        </w:rPr>
        <w:t>So</w:t>
      </w:r>
      <w:r w:rsidR="00E16272" w:rsidRPr="00982ED4">
        <w:rPr>
          <w:sz w:val="16"/>
          <w:szCs w:val="16"/>
        </w:rPr>
        <w:t xml:space="preserve">urce : </w:t>
      </w:r>
      <w:hyperlink r:id="rId64" w:history="1">
        <w:r w:rsidR="00E16272" w:rsidRPr="00982ED4">
          <w:rPr>
            <w:rStyle w:val="Lienhypertexte"/>
            <w:rFonts w:cs="Arial"/>
            <w:color w:val="0000FF"/>
            <w:sz w:val="16"/>
            <w:szCs w:val="16"/>
            <w:u w:val="single"/>
          </w:rPr>
          <w:t>CGEDD</w:t>
        </w:r>
      </w:hyperlink>
      <w:r w:rsidR="00E16272" w:rsidRPr="00982ED4">
        <w:rPr>
          <w:sz w:val="16"/>
          <w:szCs w:val="16"/>
        </w:rPr>
        <w:t xml:space="preserve"> d’après DGFiP</w:t>
      </w:r>
      <w:r w:rsidR="00DB2EF3">
        <w:rPr>
          <w:sz w:val="16"/>
          <w:szCs w:val="16"/>
        </w:rPr>
        <w:t>,</w:t>
      </w:r>
      <w:r w:rsidR="00DB2EF3" w:rsidRPr="00982ED4">
        <w:rPr>
          <w:rFonts w:cs="Arial"/>
          <w:sz w:val="16"/>
          <w:szCs w:val="16"/>
        </w:rPr>
        <w:t xml:space="preserve"> CGDD/SDES, bases notariales, INSEE. Cf. </w:t>
      </w:r>
      <w:r w:rsidR="00DB2EF3" w:rsidRPr="00982ED4">
        <w:rPr>
          <w:sz w:val="16"/>
          <w:szCs w:val="16"/>
        </w:rPr>
        <w:t>[13]</w:t>
      </w:r>
      <w:r w:rsidR="00DB2EF3">
        <w:rPr>
          <w:sz w:val="16"/>
          <w:szCs w:val="16"/>
        </w:rPr>
        <w:t xml:space="preserve"> </w:t>
      </w:r>
      <w:r w:rsidR="00DB2EF3" w:rsidRPr="00982ED4">
        <w:rPr>
          <w:rFonts w:cs="Arial"/>
          <w:sz w:val="16"/>
          <w:szCs w:val="16"/>
        </w:rPr>
        <w:t>[14], [17], [19].</w:t>
      </w:r>
    </w:p>
    <w:bookmarkEnd w:id="4"/>
    <w:p w14:paraId="485CBE3C" w14:textId="5DCB8996" w:rsidR="00423A73" w:rsidRPr="00982ED4" w:rsidRDefault="00982ED4" w:rsidP="00745088">
      <w:pPr>
        <w:widowControl w:val="0"/>
        <w:jc w:val="left"/>
        <w:rPr>
          <w:rFonts w:cs="Arial"/>
          <w:sz w:val="16"/>
          <w:szCs w:val="16"/>
        </w:rPr>
      </w:pPr>
      <w:r w:rsidRPr="00982ED4">
        <w:rPr>
          <w:rFonts w:cs="Arial"/>
          <w:sz w:val="16"/>
          <w:szCs w:val="16"/>
        </w:rPr>
        <w:t>construits</w:t>
      </w:r>
      <w:r w:rsidRPr="00982ED4">
        <w:rPr>
          <w:sz w:val="16"/>
          <w:szCs w:val="16"/>
        </w:rPr>
        <w:t xml:space="preserve">  est</w:t>
      </w:r>
      <w:r w:rsidRPr="00982ED4">
        <w:rPr>
          <w:rFonts w:cs="Arial"/>
          <w:sz w:val="16"/>
          <w:szCs w:val="16"/>
        </w:rPr>
        <w:t xml:space="preserve"> </w:t>
      </w:r>
      <w:r w:rsidR="00745088" w:rsidRPr="00982ED4">
        <w:rPr>
          <w:rFonts w:cs="Arial"/>
          <w:sz w:val="16"/>
          <w:szCs w:val="16"/>
        </w:rPr>
        <w:t>égal à la somme des accroissements des nombres de résidences principales (c’est-à-</w:t>
      </w:r>
      <w:r w:rsidR="008D2CFE" w:rsidRPr="00982ED4">
        <w:rPr>
          <w:rFonts w:cs="Arial"/>
          <w:sz w:val="16"/>
          <w:szCs w:val="16"/>
        </w:rPr>
        <w:t>dire par</w:t>
      </w:r>
      <w:r w:rsidRPr="00982ED4">
        <w:rPr>
          <w:rFonts w:cs="Arial"/>
          <w:sz w:val="16"/>
          <w:szCs w:val="16"/>
        </w:rPr>
        <w:t xml:space="preserve">      </w:t>
      </w:r>
      <w:r>
        <w:rPr>
          <w:rFonts w:cs="Arial"/>
          <w:sz w:val="16"/>
          <w:szCs w:val="16"/>
        </w:rPr>
        <w:t xml:space="preserve"> </w:t>
      </w:r>
      <w:r w:rsidR="00423A73" w:rsidRPr="00982ED4">
        <w:rPr>
          <w:rFonts w:cs="Arial"/>
          <w:sz w:val="16"/>
          <w:szCs w:val="16"/>
        </w:rPr>
        <w:t xml:space="preserve"> </w:t>
      </w:r>
      <w:r w:rsidR="00423A73" w:rsidRPr="00982ED4">
        <w:rPr>
          <w:sz w:val="16"/>
          <w:szCs w:val="16"/>
        </w:rPr>
        <w:t xml:space="preserve">Les ventes taxées au taux de droit commun incluent les ventes de logements anciens (pour environ 2/3 de </w:t>
      </w:r>
    </w:p>
    <w:p w14:paraId="4300CC90" w14:textId="47E2F30F" w:rsidR="00423A73" w:rsidRPr="00982ED4" w:rsidRDefault="00982ED4" w:rsidP="00423A73">
      <w:pPr>
        <w:widowControl w:val="0"/>
        <w:jc w:val="left"/>
        <w:rPr>
          <w:sz w:val="16"/>
          <w:szCs w:val="16"/>
        </w:rPr>
      </w:pPr>
      <w:r w:rsidRPr="00982ED4">
        <w:rPr>
          <w:rFonts w:cs="Arial"/>
          <w:sz w:val="16"/>
          <w:szCs w:val="16"/>
        </w:rPr>
        <w:t xml:space="preserve">définition de ménages),de </w:t>
      </w:r>
      <w:r w:rsidR="00745088" w:rsidRPr="00982ED4">
        <w:rPr>
          <w:rFonts w:cs="Arial"/>
          <w:sz w:val="16"/>
          <w:szCs w:val="16"/>
        </w:rPr>
        <w:t xml:space="preserve">résidences secondaires et de logements vacants, sous réserve des démolitions et </w:t>
      </w:r>
      <w:r>
        <w:rPr>
          <w:rFonts w:cs="Arial"/>
          <w:sz w:val="16"/>
          <w:szCs w:val="16"/>
        </w:rPr>
        <w:t xml:space="preserve">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l’effectif et 80% du montant en moyenne sur l’ensemble de la</w:t>
      </w:r>
      <w:r w:rsidR="00423A73" w:rsidRPr="00982ED4">
        <w:rPr>
          <w:rFonts w:cs="Arial"/>
          <w:sz w:val="16"/>
          <w:szCs w:val="16"/>
        </w:rPr>
        <w:t xml:space="preserve"> </w:t>
      </w:r>
      <w:r w:rsidR="00423A73" w:rsidRPr="00982ED4">
        <w:rPr>
          <w:sz w:val="16"/>
          <w:szCs w:val="16"/>
        </w:rPr>
        <w:t xml:space="preserve">France), mais aussi les ventes de biens à usage </w:t>
      </w:r>
    </w:p>
    <w:p w14:paraId="3C19950C" w14:textId="56374D3A" w:rsidR="00982ED4" w:rsidRDefault="00982ED4" w:rsidP="008D2CFE">
      <w:pPr>
        <w:widowControl w:val="0"/>
        <w:jc w:val="left"/>
        <w:rPr>
          <w:rFonts w:cs="Arial"/>
          <w:sz w:val="16"/>
          <w:szCs w:val="16"/>
        </w:rPr>
      </w:pPr>
      <w:r w:rsidRPr="00982ED4">
        <w:rPr>
          <w:rFonts w:cs="Arial"/>
          <w:sz w:val="16"/>
          <w:szCs w:val="16"/>
        </w:rPr>
        <w:t xml:space="preserve">des changements </w:t>
      </w:r>
      <w:r w:rsidR="00745088" w:rsidRPr="00982ED4">
        <w:rPr>
          <w:rFonts w:cs="Arial"/>
          <w:sz w:val="16"/>
          <w:szCs w:val="16"/>
        </w:rPr>
        <w:t xml:space="preserve">d’affectation et de l’accroissement du nombre de </w:t>
      </w:r>
      <w:r w:rsidR="00423A73" w:rsidRPr="00982ED4">
        <w:rPr>
          <w:rFonts w:cs="Arial"/>
          <w:sz w:val="16"/>
          <w:szCs w:val="16"/>
        </w:rPr>
        <w:t>résidences collectives</w:t>
      </w:r>
      <w:r w:rsidR="00745088" w:rsidRPr="00982ED4">
        <w:rPr>
          <w:rFonts w:cs="Arial"/>
          <w:sz w:val="16"/>
          <w:szCs w:val="16"/>
        </w:rPr>
        <w:t xml:space="preserve"> hébergeant des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professionnel</w:t>
      </w:r>
      <w:r w:rsidR="00423A73" w:rsidRPr="00982ED4">
        <w:rPr>
          <w:rFonts w:cs="Arial"/>
          <w:sz w:val="16"/>
          <w:szCs w:val="16"/>
        </w:rPr>
        <w:t xml:space="preserve">  </w:t>
      </w:r>
      <w:r w:rsidR="00423A73" w:rsidRPr="00982ED4">
        <w:rPr>
          <w:sz w:val="16"/>
          <w:szCs w:val="16"/>
        </w:rPr>
        <w:t>anciens et de terrains à bâtir non soumis à TVA..</w:t>
      </w:r>
      <w:r w:rsidR="00423A73" w:rsidRPr="00982ED4">
        <w:rPr>
          <w:rFonts w:cs="Arial"/>
          <w:sz w:val="16"/>
          <w:szCs w:val="16"/>
        </w:rPr>
        <w:t>Cf.</w:t>
      </w:r>
      <w:r w:rsidR="00DB2EF3" w:rsidRPr="00DB2EF3">
        <w:rPr>
          <w:sz w:val="16"/>
          <w:szCs w:val="16"/>
        </w:rPr>
        <w:t xml:space="preserve"> </w:t>
      </w:r>
      <w:r w:rsidR="00DB2EF3" w:rsidRPr="00982ED4">
        <w:rPr>
          <w:sz w:val="16"/>
          <w:szCs w:val="16"/>
        </w:rPr>
        <w:t>[13]</w:t>
      </w:r>
      <w:r w:rsidR="00DB2EF3">
        <w:rPr>
          <w:sz w:val="16"/>
          <w:szCs w:val="16"/>
        </w:rPr>
        <w:t xml:space="preserve"> </w:t>
      </w:r>
      <w:r w:rsidR="00423A73" w:rsidRPr="00982ED4">
        <w:rPr>
          <w:rFonts w:cs="Arial"/>
          <w:sz w:val="16"/>
          <w:szCs w:val="16"/>
        </w:rPr>
        <w:t>[14], [17] et [19]</w:t>
      </w:r>
      <w:r w:rsidR="00DB2EF3">
        <w:rPr>
          <w:rFonts w:cs="Arial"/>
          <w:sz w:val="16"/>
          <w:szCs w:val="16"/>
        </w:rPr>
        <w:t>.</w:t>
      </w:r>
    </w:p>
    <w:p w14:paraId="26A91056" w14:textId="3C77B897" w:rsidR="00A665C2" w:rsidRDefault="00982ED4" w:rsidP="008D2CFE">
      <w:pPr>
        <w:widowControl w:val="0"/>
        <w:jc w:val="left"/>
        <w:rPr>
          <w:rFonts w:cs="Arial"/>
          <w:b/>
          <w:bCs/>
        </w:rPr>
      </w:pPr>
      <w:r w:rsidRPr="00982ED4">
        <w:rPr>
          <w:rFonts w:cs="Arial"/>
          <w:sz w:val="16"/>
          <w:szCs w:val="16"/>
        </w:rPr>
        <w:t>populations hors ménages.</w:t>
      </w:r>
      <w:r w:rsidR="00423A73" w:rsidRPr="00382F47">
        <w:rPr>
          <w:rFonts w:cs="Arial"/>
          <w:sz w:val="16"/>
          <w:szCs w:val="16"/>
        </w:rPr>
        <w:t>.</w:t>
      </w:r>
      <w:r w:rsidR="00115F47" w:rsidRPr="007838C5">
        <w:rPr>
          <w:rFonts w:cs="Arial"/>
          <w:b/>
          <w:bCs/>
          <w:sz w:val="16"/>
          <w:szCs w:val="16"/>
        </w:rPr>
        <w:br w:type="page"/>
      </w:r>
      <w:r w:rsidR="002A46B1">
        <w:rPr>
          <w:rFonts w:cs="Arial"/>
          <w:b/>
          <w:bCs/>
        </w:rPr>
        <w:lastRenderedPageBreak/>
        <w:t>7</w:t>
      </w:r>
      <w:r w:rsidR="00D047F1" w:rsidRPr="00D047F1">
        <w:rPr>
          <w:rFonts w:cs="Arial"/>
          <w:b/>
          <w:bCs/>
        </w:rPr>
        <w:t xml:space="preserve">. </w:t>
      </w:r>
      <w:r w:rsidR="00E35D2B">
        <w:rPr>
          <w:rFonts w:cs="Arial"/>
          <w:b/>
          <w:bCs/>
        </w:rPr>
        <w:t>Dette</w:t>
      </w:r>
      <w:r w:rsidR="00D047F1">
        <w:rPr>
          <w:rFonts w:cs="Arial"/>
          <w:b/>
          <w:bCs/>
          <w:sz w:val="16"/>
          <w:szCs w:val="16"/>
        </w:rPr>
        <w:t xml:space="preserve">                                                                                                                                                                                                                                                                                                                                           </w:t>
      </w:r>
      <w:r w:rsidR="00A665C2" w:rsidRPr="00D26E64">
        <w:rPr>
          <w:rFonts w:cs="Arial"/>
          <w:bCs/>
          <w:sz w:val="18"/>
        </w:rPr>
        <w:t xml:space="preserve">Page </w:t>
      </w:r>
      <w:r w:rsidR="00774098">
        <w:rPr>
          <w:rFonts w:cs="Arial"/>
          <w:bCs/>
          <w:sz w:val="18"/>
        </w:rPr>
        <w:t>7</w:t>
      </w:r>
    </w:p>
    <w:p w14:paraId="3EE4781A" w14:textId="766F4B3B" w:rsidR="00FC6F63" w:rsidRDefault="00931291" w:rsidP="0084065D">
      <w:pPr>
        <w:rPr>
          <w:rFonts w:cs="Arial"/>
          <w:b/>
          <w:bCs/>
        </w:rPr>
      </w:pPr>
      <w:r>
        <w:rPr>
          <w:rFonts w:cs="Arial"/>
          <w:b/>
          <w:bCs/>
        </w:rPr>
        <w:t xml:space="preserve">7.1. </w:t>
      </w:r>
      <w:r w:rsidR="007347CE">
        <w:rPr>
          <w:rFonts w:cs="Arial"/>
          <w:b/>
          <w:bCs/>
        </w:rPr>
        <w:t xml:space="preserve">Taux d’intérêt des prêts immobiliers et de la dette de l’Etat </w:t>
      </w:r>
      <w:r w:rsidR="004C204A">
        <w:rPr>
          <w:rFonts w:cs="Arial"/>
          <w:b/>
          <w:bCs/>
        </w:rPr>
        <w:t xml:space="preserve">  </w:t>
      </w:r>
      <w:r w:rsidR="007347CE">
        <w:rPr>
          <w:rFonts w:cs="Arial"/>
          <w:b/>
          <w:bCs/>
        </w:rPr>
        <w:t xml:space="preserve"> </w:t>
      </w:r>
      <w:r w:rsidR="00414995">
        <w:rPr>
          <w:rFonts w:cs="Arial"/>
          <w:b/>
          <w:bCs/>
        </w:rPr>
        <w:t xml:space="preserve"> </w:t>
      </w:r>
      <w:r>
        <w:rPr>
          <w:rFonts w:cs="Arial"/>
          <w:b/>
          <w:bCs/>
        </w:rPr>
        <w:t>7.2. Dette immobilière des ménages : flux et stock 7.3.</w:t>
      </w:r>
      <w:r w:rsidR="0078528B">
        <w:rPr>
          <w:rFonts w:cs="Arial"/>
          <w:b/>
          <w:bCs/>
        </w:rPr>
        <w:t xml:space="preserve"> </w:t>
      </w:r>
      <w:r>
        <w:rPr>
          <w:rFonts w:cs="Arial"/>
          <w:b/>
          <w:bCs/>
        </w:rPr>
        <w:t xml:space="preserve">Dette immobilière des ménages et dette publique </w:t>
      </w:r>
    </w:p>
    <w:p w14:paraId="1E503462" w14:textId="1230766E" w:rsidR="00931291" w:rsidRDefault="00835EDD" w:rsidP="00931291">
      <w:pPr>
        <w:rPr>
          <w:rFonts w:cs="Arial"/>
          <w:b/>
          <w:bCs/>
        </w:rPr>
      </w:pPr>
      <w:r>
        <w:rPr>
          <w:rFonts w:cs="Arial"/>
          <w:b/>
          <w:bCs/>
        </w:rPr>
        <w:pict w14:anchorId="1F7CCF7B">
          <v:shape id="_x0000_i1045" type="#_x0000_t75" style="width:309.5pt;height:238.5pt" o:bordertopcolor="this" o:borderleftcolor="this" o:borderbottomcolor="this" o:borderrightcolor="this">
            <v:imagedata r:id="rId65" o:title="" cropright="13534f"/>
            <w10:bordertop type="single" width="4"/>
            <w10:borderleft type="single" width="4"/>
            <w10:borderbottom type="single" width="4"/>
            <w10:borderright type="single" width="4"/>
          </v:shape>
        </w:pict>
      </w:r>
      <w:r w:rsidR="00F276CA">
        <w:rPr>
          <w:rFonts w:cs="Arial"/>
          <w:b/>
          <w:bCs/>
        </w:rPr>
        <w:t xml:space="preserve"> </w:t>
      </w:r>
      <w:r>
        <w:rPr>
          <w:rFonts w:cs="Arial"/>
          <w:b/>
          <w:bCs/>
        </w:rPr>
        <w:pict w14:anchorId="36110518">
          <v:shape id="_x0000_i1046" type="#_x0000_t75" style="width:237.5pt;height:238.5pt" o:bordertopcolor="this" o:borderleftcolor="this" o:borderbottomcolor="this" o:borderrightcolor="this">
            <v:imagedata r:id="rId66" o:title="" cropleft="511f" cropright="24259f"/>
            <w10:bordertop type="single" width="4"/>
            <w10:borderleft type="single" width="4"/>
            <w10:borderbottom type="single" width="4"/>
            <w10:borderright type="single" width="4"/>
          </v:shape>
        </w:pict>
      </w:r>
      <w:r w:rsidR="00931291">
        <w:rPr>
          <w:rFonts w:cs="Arial"/>
          <w:b/>
          <w:bCs/>
        </w:rPr>
        <w:t xml:space="preserve"> </w:t>
      </w:r>
      <w:r>
        <w:rPr>
          <w:rFonts w:cs="Arial"/>
          <w:b/>
          <w:bCs/>
        </w:rPr>
        <w:pict w14:anchorId="58C0D80D">
          <v:shape id="_x0000_i1047" type="#_x0000_t75" style="width:245pt;height:238.5pt" o:bordertopcolor="this" o:borderleftcolor="this" o:borderbottomcolor="this" o:borderrightcolor="this">
            <v:imagedata r:id="rId67" o:title="" cropleft="511f" cropright="24003f"/>
            <w10:bordertop type="single" width="4"/>
            <w10:borderleft type="single" width="4"/>
            <w10:borderbottom type="single" width="4"/>
            <w10:borderright type="single" width="4"/>
          </v:shape>
        </w:pict>
      </w:r>
    </w:p>
    <w:p w14:paraId="7F018A8E" w14:textId="4F56DBEE" w:rsidR="00931291" w:rsidRDefault="00931291" w:rsidP="00E479DB">
      <w:pPr>
        <w:rPr>
          <w:rFonts w:cs="Arial"/>
          <w:sz w:val="16"/>
          <w:szCs w:val="16"/>
        </w:rPr>
      </w:pPr>
      <w:r w:rsidRPr="002A42F9">
        <w:rPr>
          <w:rFonts w:cs="Arial"/>
          <w:sz w:val="16"/>
          <w:szCs w:val="16"/>
        </w:rPr>
        <w:t xml:space="preserve">Source : </w:t>
      </w:r>
      <w:hyperlink r:id="rId68" w:history="1">
        <w:r w:rsidRPr="002A42F9">
          <w:rPr>
            <w:rStyle w:val="Lienhypertexte"/>
            <w:rFonts w:cs="Arial"/>
            <w:color w:val="0000FF"/>
            <w:sz w:val="16"/>
            <w:szCs w:val="16"/>
            <w:u w:val="single"/>
          </w:rPr>
          <w:t>CGEDD</w:t>
        </w:r>
      </w:hyperlink>
      <w:r w:rsidRPr="002A42F9">
        <w:rPr>
          <w:rFonts w:cs="Arial"/>
          <w:sz w:val="16"/>
          <w:szCs w:val="16"/>
        </w:rPr>
        <w:t xml:space="preserve"> d’après Banque de France et INSEE</w:t>
      </w:r>
      <w:r>
        <w:rPr>
          <w:sz w:val="16"/>
          <w:szCs w:val="16"/>
        </w:rPr>
        <w:t xml:space="preserve">                                                     </w:t>
      </w:r>
      <w:r w:rsidRPr="00E479DB">
        <w:rPr>
          <w:rFonts w:cs="Arial"/>
          <w:sz w:val="16"/>
          <w:szCs w:val="16"/>
        </w:rPr>
        <w:t xml:space="preserve">Source : </w:t>
      </w:r>
      <w:hyperlink r:id="rId69" w:history="1">
        <w:r w:rsidRPr="00E479DB">
          <w:rPr>
            <w:rStyle w:val="Lienhypertexte"/>
            <w:rFonts w:cs="Arial"/>
            <w:color w:val="0000FF"/>
            <w:sz w:val="16"/>
            <w:szCs w:val="16"/>
            <w:u w:val="single"/>
          </w:rPr>
          <w:t>CGEDD</w:t>
        </w:r>
      </w:hyperlink>
      <w:r w:rsidRPr="00E479DB">
        <w:rPr>
          <w:rFonts w:cs="Arial"/>
          <w:sz w:val="16"/>
          <w:szCs w:val="16"/>
        </w:rPr>
        <w:t xml:space="preserve"> d’après Banque de France et INSEE. Cf. </w:t>
      </w:r>
      <w:r>
        <w:rPr>
          <w:rFonts w:cs="Arial"/>
          <w:sz w:val="16"/>
          <w:szCs w:val="16"/>
        </w:rPr>
        <w:t>[20]</w:t>
      </w:r>
      <w:r w:rsidRPr="00E479DB">
        <w:rPr>
          <w:rFonts w:cs="Arial"/>
          <w:sz w:val="16"/>
          <w:szCs w:val="16"/>
        </w:rPr>
        <w:t xml:space="preserve">     </w:t>
      </w:r>
      <w:r>
        <w:rPr>
          <w:rFonts w:cs="Arial"/>
          <w:sz w:val="16"/>
          <w:szCs w:val="16"/>
        </w:rPr>
        <w:t xml:space="preserve">  </w:t>
      </w:r>
      <w:r w:rsidRPr="00E479DB">
        <w:rPr>
          <w:rFonts w:cs="Arial"/>
          <w:sz w:val="16"/>
          <w:szCs w:val="16"/>
        </w:rPr>
        <w:t xml:space="preserve">  Source : </w:t>
      </w:r>
      <w:hyperlink r:id="rId70" w:history="1">
        <w:r w:rsidRPr="00E479DB">
          <w:rPr>
            <w:rStyle w:val="Lienhypertexte"/>
            <w:rFonts w:cs="Arial"/>
            <w:color w:val="0000FF"/>
            <w:sz w:val="16"/>
            <w:szCs w:val="16"/>
            <w:u w:val="single"/>
          </w:rPr>
          <w:t>CGEDD</w:t>
        </w:r>
      </w:hyperlink>
      <w:r w:rsidRPr="00E479DB">
        <w:rPr>
          <w:rFonts w:cs="Arial"/>
          <w:sz w:val="16"/>
          <w:szCs w:val="16"/>
        </w:rPr>
        <w:t xml:space="preserve"> d’après Banque de France et INSEE. Cf. </w:t>
      </w:r>
      <w:r>
        <w:rPr>
          <w:rFonts w:cs="Arial"/>
          <w:sz w:val="16"/>
          <w:szCs w:val="16"/>
        </w:rPr>
        <w:t>[20]</w:t>
      </w:r>
    </w:p>
    <w:p w14:paraId="5CCD6CE3" w14:textId="453D61CC" w:rsidR="00931291" w:rsidRDefault="00931291" w:rsidP="00E479DB">
      <w:pPr>
        <w:rPr>
          <w:rFonts w:cs="Arial"/>
          <w:b/>
          <w:bCs/>
        </w:rPr>
      </w:pPr>
      <w:r>
        <w:rPr>
          <w:rFonts w:cs="Arial"/>
          <w:b/>
          <w:bCs/>
        </w:rPr>
        <w:t xml:space="preserve">7.4 </w:t>
      </w:r>
      <w:r w:rsidRPr="00931291">
        <w:rPr>
          <w:rFonts w:cs="Arial"/>
          <w:b/>
          <w:bCs/>
          <w:sz w:val="18"/>
          <w:szCs w:val="18"/>
        </w:rPr>
        <w:t>Montant des ventes de logements anciens et des prêts</w:t>
      </w:r>
      <w:r w:rsidRPr="00931291">
        <w:rPr>
          <w:b/>
          <w:bCs/>
          <w:sz w:val="18"/>
          <w:szCs w:val="18"/>
        </w:rPr>
        <w:t xml:space="preserve"> correspondants </w:t>
      </w:r>
      <w:r w:rsidR="002D5D4E">
        <w:rPr>
          <w:b/>
          <w:bCs/>
          <w:sz w:val="18"/>
          <w:szCs w:val="18"/>
        </w:rPr>
        <w:t xml:space="preserve">  </w:t>
      </w:r>
      <w:r>
        <w:rPr>
          <w:rFonts w:cs="Arial"/>
          <w:b/>
        </w:rPr>
        <w:t>7</w:t>
      </w:r>
      <w:r w:rsidRPr="004B7829">
        <w:rPr>
          <w:rFonts w:cs="Arial"/>
          <w:b/>
        </w:rPr>
        <w:t>.</w:t>
      </w:r>
      <w:r w:rsidR="00595DBD">
        <w:rPr>
          <w:rFonts w:cs="Arial"/>
          <w:b/>
        </w:rPr>
        <w:t>5</w:t>
      </w:r>
      <w:r w:rsidRPr="004B7829">
        <w:rPr>
          <w:rFonts w:cs="Arial"/>
          <w:b/>
        </w:rPr>
        <w:t xml:space="preserve">. </w:t>
      </w:r>
      <w:r w:rsidRPr="005C445E">
        <w:rPr>
          <w:rFonts w:ascii="Arial Narrow" w:hAnsi="Arial Narrow" w:cs="Arial"/>
          <w:b/>
        </w:rPr>
        <w:t>Dette des promoteurs en % du PIB</w:t>
      </w:r>
      <w:r>
        <w:rPr>
          <w:rFonts w:cs="Arial"/>
          <w:b/>
        </w:rPr>
        <w:t xml:space="preserve">    </w:t>
      </w:r>
      <w:r>
        <w:rPr>
          <w:rFonts w:cs="Arial"/>
          <w:b/>
          <w:bCs/>
        </w:rPr>
        <w:t xml:space="preserve">8. </w:t>
      </w:r>
      <w:r w:rsidRPr="00931291">
        <w:rPr>
          <w:rFonts w:cs="Arial"/>
          <w:b/>
          <w:bCs/>
          <w:sz w:val="18"/>
          <w:szCs w:val="18"/>
        </w:rPr>
        <w:t>Divers : évolution relative du prix des appartements et des maisons</w:t>
      </w:r>
    </w:p>
    <w:p w14:paraId="15FBE1BC" w14:textId="4E3AD4D6" w:rsidR="00B22169" w:rsidRDefault="00835EDD" w:rsidP="00931291">
      <w:pPr>
        <w:rPr>
          <w:rFonts w:cs="Arial"/>
          <w:b/>
          <w:bCs/>
          <w:sz w:val="14"/>
          <w:szCs w:val="14"/>
        </w:rPr>
      </w:pPr>
      <w:r>
        <w:rPr>
          <w:rFonts w:cs="Arial"/>
          <w:sz w:val="16"/>
          <w:szCs w:val="16"/>
        </w:rPr>
        <w:pict w14:anchorId="5CEEBFA4">
          <v:shape id="_x0000_i1048" type="#_x0000_t75" style="width:324.5pt;height:243pt" o:bordertopcolor="this" o:borderleftcolor="this" o:borderbottomcolor="this" o:borderrightcolor="this">
            <v:imagedata r:id="rId71" o:title="" croptop="764f" cropbottom="764f" cropright="10540f"/>
            <w10:bordertop type="single" width="4"/>
            <w10:borderleft type="single" width="4"/>
            <w10:borderbottom type="single" width="4"/>
            <w10:borderright type="single" width="4"/>
          </v:shape>
        </w:pict>
      </w:r>
      <w:r w:rsidR="00DC459A">
        <w:rPr>
          <w:rFonts w:cs="Arial"/>
          <w:sz w:val="16"/>
          <w:szCs w:val="16"/>
        </w:rPr>
        <w:t xml:space="preserve"> </w:t>
      </w:r>
      <w:r>
        <w:rPr>
          <w:rFonts w:cs="Arial"/>
          <w:b/>
          <w:bCs/>
          <w:sz w:val="14"/>
          <w:szCs w:val="14"/>
        </w:rPr>
        <w:pict w14:anchorId="5AE29F6A">
          <v:shape id="_x0000_i1049" type="#_x0000_t75" style="width:165.5pt;height:244pt" o:bordertopcolor="this" o:borderleftcolor="this" o:borderbottomcolor="this" o:borderrightcolor="this">
            <v:imagedata r:id="rId72" o:title="" croptop="411f" cropright="38303f"/>
            <w10:bordertop type="single" width="4"/>
            <w10:borderleft type="single" width="4"/>
            <w10:borderbottom type="single" width="4"/>
            <w10:borderright type="single" width="4"/>
          </v:shape>
        </w:pict>
      </w:r>
      <w:r w:rsidR="006B24EF" w:rsidRPr="006829D0">
        <w:rPr>
          <w:rFonts w:cs="Arial"/>
          <w:b/>
          <w:bCs/>
          <w:sz w:val="14"/>
          <w:szCs w:val="14"/>
        </w:rPr>
        <w:t xml:space="preserve"> </w:t>
      </w:r>
      <w:r>
        <w:rPr>
          <w:rFonts w:cs="Arial"/>
          <w:b/>
          <w:bCs/>
          <w:sz w:val="14"/>
          <w:szCs w:val="14"/>
        </w:rPr>
        <w:pict w14:anchorId="012E24C7">
          <v:shape id="_x0000_i1050" type="#_x0000_t75" style="width:302pt;height:243pt" o:bordertopcolor="this" o:borderleftcolor="this" o:borderbottomcolor="this" o:borderrightcolor="this">
            <v:imagedata r:id="rId73" o:title="" croptop="382f" cropbottom="764f" cropright="15058f"/>
            <o:lock v:ext="edit" aspectratio="f"/>
            <w10:bordertop type="single" width="4"/>
            <w10:borderleft type="single" width="4"/>
            <w10:borderbottom type="single" width="4"/>
            <w10:borderright type="single" width="4"/>
          </v:shape>
        </w:pict>
      </w:r>
      <w:r w:rsidR="00B22169">
        <w:rPr>
          <w:rFonts w:cs="Arial"/>
          <w:b/>
          <w:bCs/>
          <w:sz w:val="14"/>
          <w:szCs w:val="14"/>
        </w:rPr>
        <w:t xml:space="preserve"> </w:t>
      </w:r>
    </w:p>
    <w:p w14:paraId="1B52EAE5" w14:textId="5FD258D9" w:rsidR="00931291" w:rsidRDefault="00931291" w:rsidP="00931291">
      <w:pPr>
        <w:rPr>
          <w:rFonts w:cs="Arial"/>
          <w:sz w:val="14"/>
          <w:szCs w:val="14"/>
        </w:rPr>
      </w:pPr>
      <w:r w:rsidRPr="00435950">
        <w:rPr>
          <w:sz w:val="16"/>
          <w:szCs w:val="16"/>
        </w:rPr>
        <w:t xml:space="preserve">Source : </w:t>
      </w:r>
      <w:hyperlink r:id="rId74" w:history="1">
        <w:r w:rsidRPr="00435950">
          <w:rPr>
            <w:rStyle w:val="Lienhypertexte"/>
            <w:rFonts w:cs="Arial"/>
            <w:color w:val="0000FF"/>
            <w:sz w:val="16"/>
            <w:szCs w:val="16"/>
            <w:u w:val="single"/>
          </w:rPr>
          <w:t>CGEDD</w:t>
        </w:r>
      </w:hyperlink>
      <w:r w:rsidRPr="00435950">
        <w:rPr>
          <w:sz w:val="16"/>
          <w:szCs w:val="16"/>
        </w:rPr>
        <w:t xml:space="preserve"> d’après DGFiP (MEDOC) et Banque de France. Cf. </w:t>
      </w:r>
      <w:r>
        <w:rPr>
          <w:sz w:val="16"/>
          <w:szCs w:val="16"/>
        </w:rPr>
        <w:t>[13]</w:t>
      </w:r>
      <w:r w:rsidRPr="00435950">
        <w:rPr>
          <w:sz w:val="16"/>
          <w:szCs w:val="16"/>
        </w:rPr>
        <w:t>.</w:t>
      </w:r>
      <w:r>
        <w:rPr>
          <w:sz w:val="16"/>
          <w:szCs w:val="16"/>
        </w:rPr>
        <w:t xml:space="preserve">                            </w:t>
      </w:r>
      <w:r w:rsidR="005C22D8" w:rsidRPr="005D1283">
        <w:rPr>
          <w:rFonts w:cs="Arial"/>
          <w:sz w:val="14"/>
          <w:szCs w:val="14"/>
        </w:rPr>
        <w:t>Source</w:t>
      </w:r>
      <w:r w:rsidR="00530196" w:rsidRPr="005D1283">
        <w:rPr>
          <w:rFonts w:cs="Arial"/>
          <w:sz w:val="14"/>
          <w:szCs w:val="14"/>
        </w:rPr>
        <w:t xml:space="preserve"> : </w:t>
      </w:r>
      <w:hyperlink r:id="rId75" w:history="1">
        <w:r w:rsidR="00530196" w:rsidRPr="005D1283">
          <w:rPr>
            <w:rStyle w:val="Lienhypertexte"/>
            <w:rFonts w:cs="Arial"/>
            <w:color w:val="0000FF"/>
            <w:sz w:val="14"/>
            <w:szCs w:val="14"/>
            <w:u w:val="single"/>
          </w:rPr>
          <w:t>CGEDD</w:t>
        </w:r>
      </w:hyperlink>
      <w:r w:rsidR="00530196" w:rsidRPr="005D1283">
        <w:rPr>
          <w:rFonts w:cs="Arial"/>
          <w:sz w:val="14"/>
          <w:szCs w:val="14"/>
        </w:rPr>
        <w:t xml:space="preserve"> </w:t>
      </w:r>
      <w:r w:rsidR="005C22D8" w:rsidRPr="005D1283">
        <w:rPr>
          <w:rFonts w:cs="Arial"/>
          <w:sz w:val="14"/>
          <w:szCs w:val="14"/>
        </w:rPr>
        <w:t>d’après Banque de France et INSEE</w:t>
      </w:r>
      <w:r w:rsidR="005B2F55" w:rsidRPr="005D1283">
        <w:rPr>
          <w:rFonts w:cs="Arial"/>
          <w:sz w:val="14"/>
          <w:szCs w:val="14"/>
        </w:rPr>
        <w:t>.</w:t>
      </w:r>
      <w:r w:rsidR="00745088">
        <w:rPr>
          <w:rFonts w:cs="Arial"/>
          <w:sz w:val="14"/>
          <w:szCs w:val="14"/>
        </w:rPr>
        <w:t xml:space="preserve"> </w:t>
      </w:r>
      <w:r w:rsidR="00D26E64" w:rsidRPr="005D1283">
        <w:rPr>
          <w:rFonts w:cs="Arial"/>
          <w:sz w:val="14"/>
          <w:szCs w:val="14"/>
        </w:rPr>
        <w:t xml:space="preserve">Source : </w:t>
      </w:r>
      <w:hyperlink r:id="rId76" w:history="1">
        <w:r w:rsidR="00A655FA" w:rsidRPr="005D1283">
          <w:rPr>
            <w:rStyle w:val="Lienhypertexte"/>
            <w:rFonts w:cs="Arial"/>
            <w:color w:val="0000FF"/>
            <w:sz w:val="14"/>
            <w:szCs w:val="14"/>
            <w:u w:val="single"/>
          </w:rPr>
          <w:t>CGEDD</w:t>
        </w:r>
      </w:hyperlink>
      <w:r w:rsidR="00D26E64" w:rsidRPr="005D1283">
        <w:rPr>
          <w:rFonts w:cs="Arial"/>
          <w:sz w:val="14"/>
          <w:szCs w:val="14"/>
        </w:rPr>
        <w:t xml:space="preserve"> d’après indices Notaires-INSEE </w:t>
      </w:r>
      <w:r w:rsidR="00074525" w:rsidRPr="005D1283">
        <w:rPr>
          <w:rFonts w:cs="Arial"/>
          <w:sz w:val="14"/>
          <w:szCs w:val="14"/>
        </w:rPr>
        <w:t>désaisonnalisés.</w:t>
      </w:r>
      <w:r w:rsidR="00CB7EBB" w:rsidRPr="005D1283">
        <w:rPr>
          <w:rFonts w:cs="Arial"/>
          <w:sz w:val="14"/>
          <w:szCs w:val="14"/>
        </w:rPr>
        <w:t xml:space="preserve"> </w:t>
      </w:r>
      <w:r w:rsidR="00745088">
        <w:rPr>
          <w:rFonts w:cs="Arial"/>
          <w:sz w:val="14"/>
          <w:szCs w:val="14"/>
        </w:rPr>
        <w:t xml:space="preserve">De </w:t>
      </w:r>
      <w:r w:rsidR="00745088" w:rsidRPr="00BC389B">
        <w:rPr>
          <w:rFonts w:cs="Arial"/>
          <w:sz w:val="14"/>
          <w:szCs w:val="14"/>
        </w:rPr>
        <w:t xml:space="preserve">1965 à 2000, les </w:t>
      </w:r>
    </w:p>
    <w:p w14:paraId="622F06F7" w14:textId="11CEF39A" w:rsidR="00931291" w:rsidRDefault="00AC1290" w:rsidP="00931291">
      <w:pPr>
        <w:ind w:left="9217" w:firstLine="709"/>
        <w:rPr>
          <w:rFonts w:cs="Arial"/>
          <w:sz w:val="14"/>
          <w:szCs w:val="14"/>
        </w:rPr>
      </w:pPr>
      <w:r w:rsidRPr="00BC389B">
        <w:rPr>
          <w:rFonts w:cs="Arial"/>
          <w:sz w:val="14"/>
          <w:szCs w:val="14"/>
        </w:rPr>
        <w:t xml:space="preserve">appartements </w:t>
      </w:r>
      <w:r w:rsidR="00745088" w:rsidRPr="00BC389B">
        <w:rPr>
          <w:rFonts w:cs="Arial"/>
          <w:sz w:val="14"/>
          <w:szCs w:val="14"/>
        </w:rPr>
        <w:t>se sont dévalorisés par rapport aux</w:t>
      </w:r>
      <w:r w:rsidR="00745088">
        <w:rPr>
          <w:rFonts w:cs="Arial"/>
          <w:sz w:val="14"/>
          <w:szCs w:val="14"/>
        </w:rPr>
        <w:t xml:space="preserve"> </w:t>
      </w:r>
      <w:r w:rsidR="00FE2BE7">
        <w:rPr>
          <w:rFonts w:cs="Arial"/>
          <w:sz w:val="14"/>
          <w:szCs w:val="14"/>
        </w:rPr>
        <w:t xml:space="preserve">maisons </w:t>
      </w:r>
      <w:r w:rsidR="00BC389B" w:rsidRPr="00BC389B">
        <w:rPr>
          <w:rFonts w:cs="Arial"/>
          <w:sz w:val="14"/>
          <w:szCs w:val="14"/>
        </w:rPr>
        <w:t xml:space="preserve">en moyenne de 1,5% par an en province </w:t>
      </w:r>
    </w:p>
    <w:p w14:paraId="7D69636C" w14:textId="26580400" w:rsidR="00931291" w:rsidRDefault="00AC1290" w:rsidP="00931291">
      <w:pPr>
        <w:ind w:left="9217" w:firstLine="709"/>
        <w:rPr>
          <w:rFonts w:cs="Arial"/>
          <w:sz w:val="14"/>
          <w:szCs w:val="14"/>
        </w:rPr>
      </w:pPr>
      <w:r w:rsidRPr="00BC389B">
        <w:rPr>
          <w:rFonts w:cs="Arial"/>
          <w:sz w:val="14"/>
          <w:szCs w:val="14"/>
        </w:rPr>
        <w:t>et 1% par an</w:t>
      </w:r>
      <w:r>
        <w:rPr>
          <w:rFonts w:cs="Arial"/>
          <w:sz w:val="14"/>
          <w:szCs w:val="14"/>
        </w:rPr>
        <w:t xml:space="preserve"> </w:t>
      </w:r>
      <w:r w:rsidR="006829D0">
        <w:rPr>
          <w:rFonts w:cs="Arial"/>
          <w:sz w:val="14"/>
          <w:szCs w:val="14"/>
        </w:rPr>
        <w:t xml:space="preserve">en </w:t>
      </w:r>
      <w:r w:rsidR="00367F42">
        <w:rPr>
          <w:rFonts w:cs="Arial"/>
          <w:sz w:val="14"/>
          <w:szCs w:val="14"/>
        </w:rPr>
        <w:t>Ile-de-</w:t>
      </w:r>
      <w:r w:rsidR="00BC389B" w:rsidRPr="00BC389B">
        <w:rPr>
          <w:rFonts w:cs="Arial"/>
          <w:sz w:val="14"/>
          <w:szCs w:val="14"/>
        </w:rPr>
        <w:t>France hors</w:t>
      </w:r>
      <w:r w:rsidR="00367F42">
        <w:rPr>
          <w:rFonts w:cs="Arial"/>
          <w:sz w:val="14"/>
          <w:szCs w:val="14"/>
        </w:rPr>
        <w:t xml:space="preserve"> </w:t>
      </w:r>
      <w:r w:rsidR="00BC389B" w:rsidRPr="00BC389B">
        <w:rPr>
          <w:rFonts w:cs="Arial"/>
          <w:sz w:val="14"/>
          <w:szCs w:val="14"/>
        </w:rPr>
        <w:t xml:space="preserve">Paris.  L’envolée du prix des </w:t>
      </w:r>
      <w:r w:rsidR="00FA319A">
        <w:rPr>
          <w:rFonts w:cs="Arial"/>
          <w:sz w:val="14"/>
          <w:szCs w:val="14"/>
        </w:rPr>
        <w:t>l</w:t>
      </w:r>
      <w:r w:rsidR="00BC389B" w:rsidRPr="00BC389B">
        <w:rPr>
          <w:rFonts w:cs="Arial"/>
          <w:sz w:val="14"/>
          <w:szCs w:val="14"/>
        </w:rPr>
        <w:t xml:space="preserve">ogements à partir de </w:t>
      </w:r>
      <w:r w:rsidR="0014784E">
        <w:rPr>
          <w:rFonts w:cs="Arial"/>
          <w:sz w:val="14"/>
          <w:szCs w:val="14"/>
        </w:rPr>
        <w:t>2002 a</w:t>
      </w:r>
      <w:r w:rsidR="00FE2BE7">
        <w:rPr>
          <w:rFonts w:cs="Arial"/>
          <w:sz w:val="14"/>
          <w:szCs w:val="14"/>
        </w:rPr>
        <w:t xml:space="preserve"> coïncidé </w:t>
      </w:r>
    </w:p>
    <w:p w14:paraId="428363E6" w14:textId="47527B4D" w:rsidR="005C22D8" w:rsidRPr="005D1283" w:rsidRDefault="00AC1290" w:rsidP="00931291">
      <w:pPr>
        <w:ind w:left="9217" w:firstLine="709"/>
        <w:rPr>
          <w:rFonts w:cs="Arial"/>
          <w:sz w:val="14"/>
          <w:szCs w:val="14"/>
        </w:rPr>
      </w:pPr>
      <w:r>
        <w:rPr>
          <w:rFonts w:cs="Arial"/>
          <w:sz w:val="14"/>
          <w:szCs w:val="14"/>
        </w:rPr>
        <w:t xml:space="preserve">avec une </w:t>
      </w:r>
      <w:r w:rsidR="00931291">
        <w:rPr>
          <w:rFonts w:cs="Arial"/>
          <w:sz w:val="14"/>
          <w:szCs w:val="14"/>
        </w:rPr>
        <w:t>i</w:t>
      </w:r>
      <w:r w:rsidR="00BC389B" w:rsidRPr="00BC389B">
        <w:rPr>
          <w:rFonts w:cs="Arial"/>
          <w:sz w:val="14"/>
          <w:szCs w:val="14"/>
        </w:rPr>
        <w:t xml:space="preserve">nversion de cette tendance longue. Cf. </w:t>
      </w:r>
      <w:r w:rsidR="003E015A">
        <w:rPr>
          <w:rFonts w:cs="Arial"/>
          <w:sz w:val="14"/>
          <w:szCs w:val="14"/>
        </w:rPr>
        <w:t>[12]</w:t>
      </w:r>
      <w:r w:rsidR="00BC389B" w:rsidRPr="00BC389B">
        <w:rPr>
          <w:rFonts w:cs="Arial"/>
          <w:sz w:val="14"/>
          <w:szCs w:val="14"/>
        </w:rPr>
        <w:t>.</w:t>
      </w:r>
      <w:r w:rsidR="00DE182E">
        <w:rPr>
          <w:rFonts w:cs="Arial"/>
          <w:sz w:val="14"/>
          <w:szCs w:val="14"/>
        </w:rPr>
        <w:t xml:space="preserve">  </w:t>
      </w:r>
      <w:r w:rsidR="00194050">
        <w:rPr>
          <w:rFonts w:cs="Arial"/>
          <w:sz w:val="14"/>
          <w:szCs w:val="14"/>
        </w:rPr>
        <w:t xml:space="preserve"> </w:t>
      </w:r>
      <w:r w:rsidR="00DE182E">
        <w:rPr>
          <w:rFonts w:cs="Arial"/>
          <w:sz w:val="14"/>
          <w:szCs w:val="14"/>
        </w:rPr>
        <w:t xml:space="preserve"> </w:t>
      </w:r>
    </w:p>
    <w:p w14:paraId="459C452C" w14:textId="500CE740" w:rsidR="00E87484" w:rsidRDefault="00AA5E24" w:rsidP="00D047F1">
      <w:pPr>
        <w:widowControl w:val="0"/>
        <w:ind w:left="227"/>
        <w:jc w:val="left"/>
        <w:rPr>
          <w:rFonts w:cs="Arial"/>
          <w:sz w:val="16"/>
          <w:szCs w:val="16"/>
        </w:rPr>
      </w:pPr>
      <w:r>
        <w:rPr>
          <w:rFonts w:cs="Arial"/>
          <w:b/>
          <w:bCs/>
        </w:rPr>
        <w:br w:type="page"/>
      </w:r>
      <w:r w:rsidR="00931291">
        <w:rPr>
          <w:rFonts w:cs="Arial"/>
          <w:b/>
          <w:bCs/>
        </w:rPr>
        <w:lastRenderedPageBreak/>
        <w:t>9</w:t>
      </w:r>
      <w:r w:rsidR="00E87484" w:rsidRPr="00F456FE">
        <w:rPr>
          <w:rFonts w:cs="Arial"/>
          <w:b/>
          <w:bCs/>
        </w:rPr>
        <w:t xml:space="preserve">. </w:t>
      </w:r>
      <w:r w:rsidR="00E87484" w:rsidRPr="0051768B">
        <w:rPr>
          <w:rFonts w:cs="Arial"/>
          <w:b/>
          <w:bCs/>
        </w:rPr>
        <w:t>Références</w:t>
      </w:r>
      <w:r w:rsidR="00E918F8" w:rsidRPr="008538A3">
        <w:rPr>
          <w:rFonts w:cs="Arial"/>
          <w:sz w:val="16"/>
          <w:szCs w:val="16"/>
        </w:rPr>
        <w:t xml:space="preserve">          </w:t>
      </w:r>
      <w:r w:rsidR="00E918F8">
        <w:rPr>
          <w:rFonts w:cs="Arial"/>
          <w:sz w:val="16"/>
          <w:szCs w:val="16"/>
        </w:rPr>
        <w:t xml:space="preserve">                                                                                                      </w:t>
      </w:r>
      <w:r w:rsidR="00E60A35">
        <w:rPr>
          <w:rFonts w:cs="Arial"/>
          <w:sz w:val="16"/>
          <w:szCs w:val="16"/>
        </w:rPr>
        <w:t xml:space="preserve">                               </w:t>
      </w:r>
      <w:r w:rsidR="00E918F8">
        <w:rPr>
          <w:rFonts w:cs="Arial"/>
          <w:sz w:val="16"/>
          <w:szCs w:val="16"/>
        </w:rPr>
        <w:t xml:space="preserve">                                   </w:t>
      </w:r>
      <w:r>
        <w:rPr>
          <w:rFonts w:cs="Arial"/>
          <w:sz w:val="16"/>
          <w:szCs w:val="16"/>
        </w:rPr>
        <w:t xml:space="preserve">                              </w:t>
      </w:r>
      <w:r w:rsidR="00E918F8">
        <w:rPr>
          <w:rFonts w:cs="Arial"/>
          <w:sz w:val="16"/>
          <w:szCs w:val="16"/>
        </w:rPr>
        <w:t xml:space="preserve">                        </w:t>
      </w:r>
      <w:r>
        <w:rPr>
          <w:rFonts w:cs="Arial"/>
          <w:sz w:val="16"/>
          <w:szCs w:val="16"/>
        </w:rPr>
        <w:t xml:space="preserve">                                                                                  </w:t>
      </w:r>
      <w:r w:rsidRPr="00AA5E24">
        <w:rPr>
          <w:rFonts w:cs="Arial"/>
          <w:sz w:val="18"/>
          <w:szCs w:val="18"/>
        </w:rPr>
        <w:t xml:space="preserve">Page </w:t>
      </w:r>
      <w:r w:rsidR="00774098">
        <w:rPr>
          <w:rFonts w:cs="Arial"/>
          <w:sz w:val="18"/>
          <w:szCs w:val="18"/>
        </w:rPr>
        <w:t>8</w:t>
      </w:r>
    </w:p>
    <w:p w14:paraId="171681ED" w14:textId="77777777" w:rsidR="008E2137" w:rsidRPr="00B334BE" w:rsidRDefault="008E2137" w:rsidP="008E2137">
      <w:pPr>
        <w:widowControl w:val="0"/>
        <w:tabs>
          <w:tab w:val="num" w:pos="567"/>
        </w:tabs>
        <w:ind w:left="227"/>
        <w:rPr>
          <w:rFonts w:cs="Arial"/>
          <w:b/>
          <w:i/>
          <w:iCs/>
          <w:szCs w:val="18"/>
        </w:rPr>
      </w:pPr>
      <w:r w:rsidRPr="00B334BE">
        <w:rPr>
          <w:rFonts w:cs="Arial"/>
          <w:b/>
          <w:i/>
          <w:iCs/>
          <w:szCs w:val="18"/>
        </w:rPr>
        <w:t xml:space="preserve">* </w:t>
      </w:r>
      <w:r>
        <w:rPr>
          <w:rFonts w:cs="Arial"/>
          <w:b/>
          <w:i/>
          <w:iCs/>
          <w:szCs w:val="18"/>
        </w:rPr>
        <w:t>Page sur le prix des logements sur le long terme :</w:t>
      </w:r>
      <w:r w:rsidRPr="008E2137">
        <w:rPr>
          <w:rStyle w:val="Lienhypertextesuivivisit"/>
        </w:rPr>
        <w:t xml:space="preserve"> </w:t>
      </w:r>
      <w:r w:rsidR="00F3629B" w:rsidRPr="00F3629B">
        <w:rPr>
          <w:rStyle w:val="Lienhypertextesuivivisit"/>
        </w:rPr>
        <w:t>http://www.cgedd.developpement-durable.gouv.fr/prix-immobilier-evolution-a-long-terme-a1048.html</w:t>
      </w:r>
      <w:r>
        <w:rPr>
          <w:rStyle w:val="Lienhypertextesuivivisit"/>
        </w:rPr>
        <w:t>.</w:t>
      </w:r>
    </w:p>
    <w:p w14:paraId="55832BE0" w14:textId="77777777" w:rsidR="00B334BE" w:rsidRPr="00B334BE" w:rsidRDefault="00B334BE" w:rsidP="00B334BE">
      <w:pPr>
        <w:widowControl w:val="0"/>
        <w:tabs>
          <w:tab w:val="num" w:pos="567"/>
        </w:tabs>
        <w:ind w:left="227"/>
        <w:rPr>
          <w:rFonts w:cs="Arial"/>
          <w:b/>
          <w:i/>
          <w:iCs/>
          <w:szCs w:val="18"/>
        </w:rPr>
      </w:pPr>
      <w:r w:rsidRPr="00B334BE">
        <w:rPr>
          <w:rFonts w:cs="Arial"/>
          <w:b/>
          <w:i/>
          <w:iCs/>
          <w:szCs w:val="18"/>
        </w:rPr>
        <w:t xml:space="preserve">* </w:t>
      </w:r>
      <w:r w:rsidR="00474F55">
        <w:rPr>
          <w:rFonts w:cs="Arial"/>
          <w:b/>
          <w:i/>
          <w:iCs/>
          <w:szCs w:val="18"/>
        </w:rPr>
        <w:t>Prix des logements et des autres actifs</w:t>
      </w:r>
      <w:r w:rsidR="000E73ED">
        <w:rPr>
          <w:rFonts w:cs="Arial"/>
          <w:b/>
          <w:i/>
          <w:iCs/>
          <w:szCs w:val="18"/>
        </w:rPr>
        <w:t xml:space="preserve"> sur longue période</w:t>
      </w:r>
    </w:p>
    <w:bookmarkStart w:id="5" w:name="_Ref445406958"/>
    <w:bookmarkStart w:id="6" w:name="_Ref209404637"/>
    <w:p w14:paraId="243714DB" w14:textId="3CB9048D" w:rsidR="00F7511D" w:rsidRPr="00F7511D" w:rsidRDefault="00F7511D" w:rsidP="00506E9C">
      <w:pPr>
        <w:pStyle w:val="Titre1"/>
        <w:rPr>
          <w:rStyle w:val="Lienhypertextesuivivisit"/>
          <w:color w:val="auto"/>
          <w:u w:val="none"/>
        </w:rPr>
      </w:pPr>
      <w:r w:rsidRPr="00F7511D">
        <w:rPr>
          <w:rStyle w:val="Lienhypertextesuivivisit"/>
        </w:rPr>
        <w:fldChar w:fldCharType="begin"/>
      </w:r>
      <w:r w:rsidR="00835EDD">
        <w:rPr>
          <w:rStyle w:val="Lienhypertextesuivivisit"/>
        </w:rPr>
        <w:instrText>HYPERLINK "http://www.cgedd.fr/prix-immobilier-presentation.pdf"</w:instrText>
      </w:r>
      <w:r w:rsidR="00835EDD" w:rsidRPr="00F7511D">
        <w:rPr>
          <w:rStyle w:val="Lienhypertextesuivivisit"/>
        </w:rPr>
      </w:r>
      <w:r w:rsidRPr="00F7511D">
        <w:rPr>
          <w:rStyle w:val="Lienhypertextesuivivisit"/>
        </w:rPr>
        <w:fldChar w:fldCharType="separate"/>
      </w:r>
      <w:r w:rsidRPr="00F7511D">
        <w:rPr>
          <w:rStyle w:val="Lienhypertextesuivivisit"/>
        </w:rPr>
        <w:t>Le prix de l’immobilier d’habitation sur le long terme</w:t>
      </w:r>
      <w:r w:rsidRPr="00F7511D">
        <w:rPr>
          <w:rStyle w:val="Lienhypertextesuivivisit"/>
        </w:rPr>
        <w:fldChar w:fldCharType="end"/>
      </w:r>
      <w:r>
        <w:rPr>
          <w:rStyle w:val="Lienhypertextesuivivisit"/>
          <w:color w:val="auto"/>
          <w:u w:val="none"/>
        </w:rPr>
        <w:t>, support de cours</w:t>
      </w:r>
      <w:r w:rsidR="00D07AB5">
        <w:rPr>
          <w:rStyle w:val="Lienhypertextesuivivisit"/>
          <w:color w:val="auto"/>
          <w:u w:val="none"/>
        </w:rPr>
        <w:t>.</w:t>
      </w:r>
      <w:bookmarkEnd w:id="5"/>
    </w:p>
    <w:p w14:paraId="7027DF49" w14:textId="4D04E8BD" w:rsidR="00506E9C" w:rsidRPr="00C330D5" w:rsidRDefault="00713DBC" w:rsidP="00506E9C">
      <w:pPr>
        <w:pStyle w:val="Titre1"/>
        <w:rPr>
          <w:u w:val="none"/>
        </w:rPr>
      </w:pPr>
      <w:hyperlink r:id="rId77" w:history="1">
        <w:r w:rsidR="002345A7" w:rsidRPr="008B1CAF">
          <w:rPr>
            <w:rStyle w:val="Lienhypertextesuivivisit"/>
          </w:rPr>
          <w:t>Séries longues (1800-</w:t>
        </w:r>
        <w:r w:rsidR="000D51AC">
          <w:rPr>
            <w:rStyle w:val="Lienhypertextesuivivisit"/>
          </w:rPr>
          <w:t>20</w:t>
        </w:r>
        <w:r w:rsidR="00BA7ED9">
          <w:rPr>
            <w:rStyle w:val="Lienhypertextesuivivisit"/>
          </w:rPr>
          <w:t>1</w:t>
        </w:r>
        <w:r w:rsidR="000D51AC">
          <w:rPr>
            <w:rStyle w:val="Lienhypertextesuivivisit"/>
          </w:rPr>
          <w:t>0</w:t>
        </w:r>
        <w:r w:rsidR="002345A7" w:rsidRPr="008B1CAF">
          <w:rPr>
            <w:rStyle w:val="Lienhypertextesuivivisit"/>
          </w:rPr>
          <w:t>)</w:t>
        </w:r>
      </w:hyperlink>
      <w:bookmarkEnd w:id="6"/>
      <w:r w:rsidR="006F3669">
        <w:rPr>
          <w:u w:val="none"/>
        </w:rPr>
        <w:t>: valeurs numériques utilisées pour confectionner les graphiques ci-dessus.</w:t>
      </w:r>
    </w:p>
    <w:p w14:paraId="44ADE988" w14:textId="01D1CAE5" w:rsidR="00533528" w:rsidRDefault="00533528" w:rsidP="00533528">
      <w:pPr>
        <w:pStyle w:val="Titre1"/>
        <w:rPr>
          <w:u w:val="none"/>
        </w:rPr>
      </w:pPr>
      <w:bookmarkStart w:id="7" w:name="_Ref255021452"/>
      <w:r w:rsidRPr="00C330D5">
        <w:rPr>
          <w:u w:val="none"/>
        </w:rPr>
        <w:t>« </w:t>
      </w:r>
      <w:hyperlink r:id="rId78" w:history="1">
        <w:r w:rsidRPr="00506E9C">
          <w:rPr>
            <w:rStyle w:val="Lienhypertextesuivivisit"/>
          </w:rPr>
          <w:t>Le prix des logements sur le long terme</w:t>
        </w:r>
      </w:hyperlink>
      <w:r w:rsidRPr="00C330D5">
        <w:rPr>
          <w:u w:val="none"/>
        </w:rPr>
        <w:t> », J.</w:t>
      </w:r>
      <w:r w:rsidR="00607E40">
        <w:rPr>
          <w:u w:val="none"/>
        </w:rPr>
        <w:t xml:space="preserve"> </w:t>
      </w:r>
      <w:r w:rsidRPr="00C330D5">
        <w:rPr>
          <w:u w:val="none"/>
        </w:rPr>
        <w:t>Friggit, CGEDD, 2010</w:t>
      </w:r>
      <w:r w:rsidR="00724450">
        <w:rPr>
          <w:u w:val="none"/>
        </w:rPr>
        <w:t>.</w:t>
      </w:r>
      <w:bookmarkEnd w:id="7"/>
    </w:p>
    <w:p w14:paraId="5EE4E38A" w14:textId="4864CB5B" w:rsidR="00217150" w:rsidRDefault="00217150" w:rsidP="00217150">
      <w:pPr>
        <w:pStyle w:val="Titre1"/>
        <w:rPr>
          <w:u w:val="none"/>
        </w:rPr>
      </w:pPr>
      <w:r w:rsidRPr="00C330D5">
        <w:rPr>
          <w:u w:val="none"/>
        </w:rPr>
        <w:t>« </w:t>
      </w:r>
      <w:hyperlink r:id="rId79" w:history="1">
        <w:r w:rsidRPr="00506E9C">
          <w:rPr>
            <w:rStyle w:val="Lienhypertextesuivivisit"/>
          </w:rPr>
          <w:t>L</w:t>
        </w:r>
        <w:r>
          <w:rPr>
            <w:rStyle w:val="Lienhypertextesuivivisit"/>
          </w:rPr>
          <w:t>oyers et revenus depuis les années 1970</w:t>
        </w:r>
      </w:hyperlink>
      <w:r w:rsidRPr="00C330D5">
        <w:rPr>
          <w:u w:val="none"/>
        </w:rPr>
        <w:t> », J.</w:t>
      </w:r>
      <w:r>
        <w:rPr>
          <w:u w:val="none"/>
        </w:rPr>
        <w:t xml:space="preserve"> Friggit, CGEDD, 2013.</w:t>
      </w:r>
    </w:p>
    <w:p w14:paraId="0DFA1CDF" w14:textId="04004D6D" w:rsidR="00B63478" w:rsidRPr="009F3F1B" w:rsidRDefault="00B63478" w:rsidP="00CB6BFE">
      <w:pPr>
        <w:pStyle w:val="Titre1"/>
        <w:rPr>
          <w:u w:val="none"/>
          <w:lang w:val="en-GB"/>
        </w:rPr>
      </w:pPr>
      <w:bookmarkStart w:id="8" w:name="_Ref209404572"/>
      <w:bookmarkStart w:id="9" w:name="_Ref209406362"/>
      <w:bookmarkStart w:id="10" w:name="_Ref329843305"/>
      <w:r w:rsidRPr="002843C0">
        <w:rPr>
          <w:u w:val="none"/>
          <w:lang w:val="en-GB"/>
        </w:rPr>
        <w:t>« </w:t>
      </w:r>
      <w:hyperlink r:id="rId80" w:history="1">
        <w:r w:rsidRPr="002843C0">
          <w:rPr>
            <w:rStyle w:val="Lienhypertextesuivivisit"/>
            <w:lang w:val="en-GB"/>
          </w:rPr>
          <w:t>Long Term (1800-2005) Investment i</w:t>
        </w:r>
        <w:r w:rsidRPr="006A7B57">
          <w:rPr>
            <w:rStyle w:val="Lienhypertextesuivivisit"/>
            <w:lang w:val="en-GB"/>
          </w:rPr>
          <w:t>n Gold, Bonds, Stocks and Housing in France – with I</w:t>
        </w:r>
        <w:r w:rsidR="006A7B57">
          <w:rPr>
            <w:rStyle w:val="Lienhypertextesuivivisit"/>
            <w:lang w:val="en-GB"/>
          </w:rPr>
          <w:t>nsights into the USA and the UK</w:t>
        </w:r>
        <w:r w:rsidRPr="006A7B57">
          <w:rPr>
            <w:rStyle w:val="Lienhypertextesuivivisit"/>
            <w:lang w:val="en-GB"/>
          </w:rPr>
          <w:t>:</w:t>
        </w:r>
        <w:r w:rsidR="006A7B57" w:rsidRPr="006A7B57">
          <w:rPr>
            <w:rStyle w:val="Lienhypertextesuivivisit"/>
            <w:lang w:val="en-GB"/>
          </w:rPr>
          <w:t xml:space="preserve"> </w:t>
        </w:r>
        <w:r w:rsidR="009E692D">
          <w:rPr>
            <w:rStyle w:val="Lienhypertextesuivivisit"/>
            <w:lang w:val="en-GB"/>
          </w:rPr>
          <w:t>a Few Regul</w:t>
        </w:r>
        <w:r w:rsidRPr="006A7B57">
          <w:rPr>
            <w:rStyle w:val="Lienhypertextesuivivisit"/>
            <w:lang w:val="en-GB"/>
          </w:rPr>
          <w:t>arities</w:t>
        </w:r>
      </w:hyperlink>
      <w:r w:rsidRPr="009F3F1B">
        <w:rPr>
          <w:u w:val="none"/>
          <w:lang w:val="en-GB"/>
        </w:rPr>
        <w:t xml:space="preserve"> », </w:t>
      </w:r>
      <w:r w:rsidR="006D1126" w:rsidRPr="009F3F1B">
        <w:rPr>
          <w:u w:val="none"/>
          <w:lang w:val="en-GB"/>
        </w:rPr>
        <w:t>J.Friggit, CGEDD, 2007</w:t>
      </w:r>
      <w:bookmarkEnd w:id="8"/>
      <w:bookmarkEnd w:id="9"/>
      <w:r w:rsidR="00724450">
        <w:rPr>
          <w:u w:val="none"/>
          <w:lang w:val="en-GB"/>
        </w:rPr>
        <w:t>.</w:t>
      </w:r>
      <w:bookmarkEnd w:id="10"/>
    </w:p>
    <w:p w14:paraId="4F325487" w14:textId="16AE6AB7" w:rsidR="002345A7" w:rsidRDefault="002345A7" w:rsidP="00CB6BFE">
      <w:pPr>
        <w:pStyle w:val="Titre1"/>
        <w:rPr>
          <w:u w:val="none"/>
          <w:lang w:val="en-GB"/>
        </w:rPr>
      </w:pPr>
      <w:bookmarkStart w:id="11" w:name="_Ref209405799"/>
      <w:bookmarkStart w:id="12" w:name="_Ref233419154"/>
      <w:bookmarkStart w:id="13" w:name="_Ref378225707"/>
      <w:r w:rsidRPr="009F3F1B">
        <w:rPr>
          <w:u w:val="none"/>
          <w:lang w:val="en-GB"/>
        </w:rPr>
        <w:t>« </w:t>
      </w:r>
      <w:hyperlink r:id="rId81" w:history="1">
        <w:r w:rsidRPr="00285370">
          <w:rPr>
            <w:rStyle w:val="Lienhypertextesuivivisit"/>
            <w:lang w:val="en-GB"/>
          </w:rPr>
          <w:t>Comparing Four Secular Home Price Indices</w:t>
        </w:r>
      </w:hyperlink>
      <w:r w:rsidRPr="009F3F1B">
        <w:rPr>
          <w:u w:val="none"/>
          <w:lang w:val="en-GB"/>
        </w:rPr>
        <w:t> », J. Friggit, CGEDD, 2008</w:t>
      </w:r>
      <w:bookmarkEnd w:id="11"/>
      <w:bookmarkEnd w:id="12"/>
      <w:r w:rsidR="00724450">
        <w:rPr>
          <w:u w:val="none"/>
          <w:lang w:val="en-GB"/>
        </w:rPr>
        <w:t>.</w:t>
      </w:r>
      <w:bookmarkEnd w:id="13"/>
    </w:p>
    <w:p w14:paraId="58E19DC0" w14:textId="74D286CE" w:rsidR="00474F55" w:rsidRPr="009F3F1B" w:rsidRDefault="00474F55" w:rsidP="00474F55">
      <w:pPr>
        <w:pStyle w:val="Titre1"/>
        <w:rPr>
          <w:u w:val="none"/>
        </w:rPr>
      </w:pPr>
      <w:r w:rsidRPr="009F3F1B">
        <w:rPr>
          <w:u w:val="none"/>
        </w:rPr>
        <w:t>« </w:t>
      </w:r>
      <w:hyperlink r:id="rId82" w:history="1">
        <w:r w:rsidRPr="008B1CAF">
          <w:rPr>
            <w:rStyle w:val="Lienhypertextesuivivisit"/>
          </w:rPr>
          <w:t>Placements en actions et en logement: quelques régularités sur longue période</w:t>
        </w:r>
      </w:hyperlink>
      <w:r w:rsidRPr="009F3F1B">
        <w:rPr>
          <w:u w:val="none"/>
        </w:rPr>
        <w:t> », J.</w:t>
      </w:r>
      <w:r w:rsidR="00607E40">
        <w:rPr>
          <w:u w:val="none"/>
        </w:rPr>
        <w:t xml:space="preserve"> </w:t>
      </w:r>
      <w:r w:rsidRPr="009F3F1B">
        <w:rPr>
          <w:u w:val="none"/>
        </w:rPr>
        <w:t>Friggit, Réflexions Immobilières n°33, 2002</w:t>
      </w:r>
      <w:r w:rsidR="00724450">
        <w:rPr>
          <w:u w:val="none"/>
        </w:rPr>
        <w:t>.</w:t>
      </w:r>
    </w:p>
    <w:p w14:paraId="626DBF5E" w14:textId="77777777" w:rsidR="002345A7" w:rsidRPr="009F3F1B" w:rsidRDefault="002345A7" w:rsidP="00CB6BFE">
      <w:pPr>
        <w:pStyle w:val="Titre1"/>
        <w:rPr>
          <w:u w:val="none"/>
        </w:rPr>
      </w:pPr>
      <w:r w:rsidRPr="009F3F1B">
        <w:rPr>
          <w:u w:val="none"/>
        </w:rPr>
        <w:t>« Documents sur le problème du logement », G.</w:t>
      </w:r>
      <w:r w:rsidR="00607E40">
        <w:rPr>
          <w:u w:val="none"/>
        </w:rPr>
        <w:t xml:space="preserve"> </w:t>
      </w:r>
      <w:r w:rsidRPr="009F3F1B">
        <w:rPr>
          <w:u w:val="none"/>
        </w:rPr>
        <w:t xml:space="preserve">Duon, Études Économiques, </w:t>
      </w:r>
      <w:r w:rsidR="00DF5742" w:rsidRPr="009F3F1B">
        <w:rPr>
          <w:u w:val="none"/>
        </w:rPr>
        <w:t xml:space="preserve">Ministère de l’Économie, Service National de la Statistique, </w:t>
      </w:r>
      <w:r w:rsidR="000E73ED" w:rsidRPr="009F3F1B">
        <w:rPr>
          <w:u w:val="none"/>
        </w:rPr>
        <w:t>1946, n°1</w:t>
      </w:r>
      <w:r w:rsidR="00724450">
        <w:rPr>
          <w:u w:val="none"/>
        </w:rPr>
        <w:t>.</w:t>
      </w:r>
    </w:p>
    <w:p w14:paraId="27535337" w14:textId="77777777" w:rsidR="002345A7" w:rsidRPr="00B334BE" w:rsidRDefault="005D49C3" w:rsidP="005D49C3">
      <w:pPr>
        <w:widowControl w:val="0"/>
        <w:tabs>
          <w:tab w:val="num" w:pos="567"/>
        </w:tabs>
        <w:ind w:left="227"/>
        <w:rPr>
          <w:rFonts w:cs="Arial"/>
          <w:b/>
          <w:i/>
          <w:iCs/>
          <w:szCs w:val="18"/>
        </w:rPr>
      </w:pPr>
      <w:r w:rsidRPr="00B334BE">
        <w:rPr>
          <w:rFonts w:cs="Arial"/>
          <w:b/>
          <w:i/>
          <w:iCs/>
          <w:szCs w:val="18"/>
        </w:rPr>
        <w:t xml:space="preserve">* </w:t>
      </w:r>
      <w:r w:rsidR="002345A7" w:rsidRPr="00B334BE">
        <w:rPr>
          <w:rFonts w:cs="Arial"/>
          <w:b/>
          <w:i/>
          <w:iCs/>
          <w:szCs w:val="18"/>
        </w:rPr>
        <w:t xml:space="preserve">Prix des </w:t>
      </w:r>
      <w:r w:rsidR="000E73ED">
        <w:rPr>
          <w:rFonts w:cs="Arial"/>
          <w:b/>
          <w:i/>
          <w:iCs/>
          <w:szCs w:val="18"/>
        </w:rPr>
        <w:t>logements sur le passé récent</w:t>
      </w:r>
    </w:p>
    <w:p w14:paraId="42AC2532" w14:textId="75F44197" w:rsidR="002345A7" w:rsidRPr="005023CD" w:rsidRDefault="00561601" w:rsidP="00CB6BFE">
      <w:pPr>
        <w:pStyle w:val="Titre1"/>
      </w:pPr>
      <w:r>
        <w:rPr>
          <w:u w:val="none"/>
        </w:rPr>
        <w:t>I</w:t>
      </w:r>
      <w:r w:rsidR="002345A7" w:rsidRPr="009F3F1B">
        <w:rPr>
          <w:u w:val="none"/>
        </w:rPr>
        <w:t xml:space="preserve">ndices Notaires-INSEE du prix des logements (indices à base et périodicité trimestrielles agrégés et, sur l’Ile-de-France, locaux) : </w:t>
      </w:r>
      <w:hyperlink r:id="rId83" w:history="1">
        <w:r w:rsidR="002345A7" w:rsidRPr="008B1CAF">
          <w:rPr>
            <w:rStyle w:val="Lienhypertextesuivivisit"/>
          </w:rPr>
          <w:t>historique complet</w:t>
        </w:r>
      </w:hyperlink>
      <w:r w:rsidR="002345A7" w:rsidRPr="009F3F1B">
        <w:rPr>
          <w:u w:val="none"/>
        </w:rPr>
        <w:t xml:space="preserve"> et </w:t>
      </w:r>
      <w:hyperlink r:id="rId84" w:history="1">
        <w:r w:rsidR="002345A7" w:rsidRPr="008B1CAF">
          <w:rPr>
            <w:rStyle w:val="Lienhypertextesuivivisit"/>
          </w:rPr>
          <w:t>méthodologie (INSEE Méthodes n° 111)</w:t>
        </w:r>
      </w:hyperlink>
      <w:r w:rsidR="00724450">
        <w:rPr>
          <w:u w:val="none"/>
        </w:rPr>
        <w:t>.</w:t>
      </w:r>
    </w:p>
    <w:p w14:paraId="611BBC30" w14:textId="51E594BE" w:rsidR="002345A7" w:rsidRDefault="00206471" w:rsidP="00CB6BFE">
      <w:pPr>
        <w:pStyle w:val="Titre1"/>
        <w:rPr>
          <w:u w:val="none"/>
        </w:rPr>
      </w:pPr>
      <w:r w:rsidRPr="009F3F1B">
        <w:rPr>
          <w:u w:val="none"/>
        </w:rPr>
        <w:t xml:space="preserve"> </w:t>
      </w:r>
      <w:r w:rsidR="002345A7" w:rsidRPr="009F3F1B">
        <w:rPr>
          <w:u w:val="none"/>
        </w:rPr>
        <w:t>« </w:t>
      </w:r>
      <w:hyperlink r:id="rId85" w:history="1">
        <w:r w:rsidR="002345A7" w:rsidRPr="008B1CAF">
          <w:rPr>
            <w:rStyle w:val="Lienhypertextesuivivisit"/>
          </w:rPr>
          <w:t>La saisonnalité du prix des logements</w:t>
        </w:r>
      </w:hyperlink>
      <w:r w:rsidR="004672EB">
        <w:rPr>
          <w:rStyle w:val="Lienhypertextesuivivisit"/>
        </w:rPr>
        <w:t xml:space="preserve"> </w:t>
      </w:r>
      <w:r w:rsidR="002345A7" w:rsidRPr="009F3F1B">
        <w:rPr>
          <w:u w:val="none"/>
        </w:rPr>
        <w:t>», J.</w:t>
      </w:r>
      <w:r w:rsidR="00607E40">
        <w:rPr>
          <w:u w:val="none"/>
        </w:rPr>
        <w:t xml:space="preserve"> </w:t>
      </w:r>
      <w:r w:rsidR="002345A7" w:rsidRPr="009F3F1B">
        <w:rPr>
          <w:u w:val="none"/>
        </w:rPr>
        <w:t>Friggit, court article paru dan</w:t>
      </w:r>
      <w:r w:rsidR="000E73ED" w:rsidRPr="009F3F1B">
        <w:rPr>
          <w:u w:val="none"/>
        </w:rPr>
        <w:t>s Études Foncières n° 121, 2006</w:t>
      </w:r>
      <w:r w:rsidR="00724450">
        <w:rPr>
          <w:u w:val="none"/>
        </w:rPr>
        <w:t>.</w:t>
      </w:r>
    </w:p>
    <w:p w14:paraId="000F7327" w14:textId="5454A6D1" w:rsidR="00250A3C" w:rsidRDefault="00250A3C" w:rsidP="00250A3C">
      <w:pPr>
        <w:pStyle w:val="Titre1"/>
        <w:rPr>
          <w:u w:val="none"/>
        </w:rPr>
      </w:pPr>
      <w:bookmarkStart w:id="14" w:name="_Ref310947371"/>
      <w:r w:rsidRPr="009F3F1B">
        <w:rPr>
          <w:u w:val="none"/>
        </w:rPr>
        <w:t>« </w:t>
      </w:r>
      <w:hyperlink r:id="rId86" w:history="1">
        <w:r>
          <w:rPr>
            <w:rStyle w:val="Lienhypertextesuivivisit"/>
          </w:rPr>
          <w:t>L’élasticité du prix des logements par rapport à leur nombre</w:t>
        </w:r>
        <w:r w:rsidRPr="008B1CAF">
          <w:rPr>
            <w:rStyle w:val="Lienhypertextesuivivisit"/>
          </w:rPr>
          <w:t> </w:t>
        </w:r>
      </w:hyperlink>
      <w:r w:rsidRPr="009F3F1B">
        <w:rPr>
          <w:u w:val="none"/>
        </w:rPr>
        <w:t>», J.</w:t>
      </w:r>
      <w:r>
        <w:rPr>
          <w:u w:val="none"/>
        </w:rPr>
        <w:t xml:space="preserve"> </w:t>
      </w:r>
      <w:r w:rsidRPr="009F3F1B">
        <w:rPr>
          <w:u w:val="none"/>
        </w:rPr>
        <w:t xml:space="preserve">Friggit, </w:t>
      </w:r>
      <w:r>
        <w:rPr>
          <w:u w:val="none"/>
        </w:rPr>
        <w:t>CGEDD, 2015.</w:t>
      </w:r>
      <w:bookmarkEnd w:id="14"/>
    </w:p>
    <w:p w14:paraId="6BC1605A" w14:textId="7FBED294" w:rsidR="002C0367" w:rsidRPr="00DD6F3B" w:rsidRDefault="00FA0987" w:rsidP="00DD6F3B">
      <w:pPr>
        <w:pStyle w:val="Titre1"/>
        <w:rPr>
          <w:u w:val="none"/>
        </w:rPr>
      </w:pPr>
      <w:bookmarkStart w:id="15" w:name="_Ref310947498"/>
      <w:r w:rsidRPr="009F3F1B">
        <w:rPr>
          <w:u w:val="none"/>
        </w:rPr>
        <w:t xml:space="preserve"> </w:t>
      </w:r>
      <w:r w:rsidR="002C0367" w:rsidRPr="009F3F1B">
        <w:rPr>
          <w:u w:val="none"/>
        </w:rPr>
        <w:t>« </w:t>
      </w:r>
      <w:hyperlink r:id="rId87" w:history="1">
        <w:r w:rsidR="00DD6F3B" w:rsidRPr="00DD6F3B">
          <w:rPr>
            <w:rStyle w:val="Lienhypertextesuivivisit"/>
          </w:rPr>
          <w:t>Evolution relative du prix des appartements et du prix des maisons : l’inversion de 2001</w:t>
        </w:r>
        <w:r w:rsidR="002C0367" w:rsidRPr="008B1CAF">
          <w:rPr>
            <w:rStyle w:val="Lienhypertextesuivivisit"/>
          </w:rPr>
          <w:t> </w:t>
        </w:r>
      </w:hyperlink>
      <w:r w:rsidR="002C0367" w:rsidRPr="009F3F1B">
        <w:rPr>
          <w:u w:val="none"/>
        </w:rPr>
        <w:t>», J.</w:t>
      </w:r>
      <w:r w:rsidR="002C0367">
        <w:rPr>
          <w:u w:val="none"/>
        </w:rPr>
        <w:t xml:space="preserve"> </w:t>
      </w:r>
      <w:r w:rsidR="002C0367" w:rsidRPr="009F3F1B">
        <w:rPr>
          <w:u w:val="none"/>
        </w:rPr>
        <w:t xml:space="preserve">Friggit, </w:t>
      </w:r>
      <w:r w:rsidR="002C0367">
        <w:rPr>
          <w:u w:val="none"/>
        </w:rPr>
        <w:t>CGEDD, 2011.</w:t>
      </w:r>
      <w:bookmarkEnd w:id="15"/>
    </w:p>
    <w:p w14:paraId="749A5DF2"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AD71A8">
        <w:rPr>
          <w:rFonts w:cs="Arial"/>
          <w:b/>
          <w:i/>
          <w:iCs/>
          <w:szCs w:val="18"/>
        </w:rPr>
        <w:t>Montant et nombre</w:t>
      </w:r>
      <w:r w:rsidR="002345A7" w:rsidRPr="009F3F1B">
        <w:rPr>
          <w:rFonts w:cs="Arial"/>
          <w:b/>
          <w:i/>
          <w:iCs/>
          <w:szCs w:val="18"/>
        </w:rPr>
        <w:t xml:space="preserve"> de</w:t>
      </w:r>
      <w:r w:rsidR="00AD71A8">
        <w:rPr>
          <w:rFonts w:cs="Arial"/>
          <w:b/>
          <w:i/>
          <w:iCs/>
          <w:szCs w:val="18"/>
        </w:rPr>
        <w:t>s</w:t>
      </w:r>
      <w:r w:rsidR="002345A7" w:rsidRPr="009F3F1B">
        <w:rPr>
          <w:rFonts w:cs="Arial"/>
          <w:b/>
          <w:i/>
          <w:iCs/>
          <w:szCs w:val="18"/>
        </w:rPr>
        <w:t xml:space="preserve"> </w:t>
      </w:r>
      <w:r w:rsidR="00AD71A8">
        <w:rPr>
          <w:rFonts w:cs="Arial"/>
          <w:b/>
          <w:i/>
          <w:iCs/>
          <w:szCs w:val="18"/>
        </w:rPr>
        <w:t>ventes</w:t>
      </w:r>
      <w:r w:rsidR="002345A7" w:rsidRPr="009F3F1B">
        <w:rPr>
          <w:rFonts w:cs="Arial"/>
          <w:b/>
          <w:i/>
          <w:iCs/>
          <w:szCs w:val="18"/>
        </w:rPr>
        <w:t xml:space="preserve"> i</w:t>
      </w:r>
      <w:r w:rsidR="000E73ED" w:rsidRPr="009F3F1B">
        <w:rPr>
          <w:rFonts w:cs="Arial"/>
          <w:b/>
          <w:i/>
          <w:iCs/>
          <w:szCs w:val="18"/>
        </w:rPr>
        <w:t xml:space="preserve">mmobilières </w:t>
      </w:r>
      <w:r w:rsidR="00AD71A8">
        <w:rPr>
          <w:rFonts w:cs="Arial"/>
          <w:b/>
          <w:i/>
          <w:iCs/>
          <w:szCs w:val="18"/>
        </w:rPr>
        <w:t>et de ventes de logements anciens</w:t>
      </w:r>
    </w:p>
    <w:p w14:paraId="61130120" w14:textId="7060123E" w:rsidR="00474F55" w:rsidRDefault="002345A7" w:rsidP="00CB6BFE">
      <w:pPr>
        <w:pStyle w:val="Titre1"/>
        <w:rPr>
          <w:u w:val="none"/>
        </w:rPr>
      </w:pPr>
      <w:bookmarkStart w:id="16" w:name="_Ref409617906"/>
      <w:bookmarkStart w:id="17" w:name="_Ref209404886"/>
      <w:r w:rsidRPr="009F3F1B">
        <w:rPr>
          <w:u w:val="none"/>
        </w:rPr>
        <w:t>« </w:t>
      </w:r>
      <w:hyperlink r:id="rId88" w:history="1">
        <w:r w:rsidRPr="008B1CAF">
          <w:rPr>
            <w:rStyle w:val="Lienhypertextesuivivisit"/>
          </w:rPr>
          <w:t>Droits de mutation et montant des transactions immobilières - 1800-200</w:t>
        </w:r>
        <w:r w:rsidR="001F13DE">
          <w:rPr>
            <w:rStyle w:val="Lienhypertextesuivivisit"/>
          </w:rPr>
          <w:t>8</w:t>
        </w:r>
      </w:hyperlink>
      <w:r w:rsidRPr="009F3F1B">
        <w:rPr>
          <w:u w:val="none"/>
        </w:rPr>
        <w:t xml:space="preserve"> », J.</w:t>
      </w:r>
      <w:r w:rsidR="00607E40">
        <w:rPr>
          <w:u w:val="none"/>
        </w:rPr>
        <w:t xml:space="preserve"> </w:t>
      </w:r>
      <w:r w:rsidRPr="009F3F1B">
        <w:rPr>
          <w:u w:val="none"/>
        </w:rPr>
        <w:t>Friggit, CGEDD, 20</w:t>
      </w:r>
      <w:r w:rsidR="001F13DE">
        <w:rPr>
          <w:u w:val="none"/>
        </w:rPr>
        <w:t>0</w:t>
      </w:r>
      <w:r w:rsidR="00474F55">
        <w:rPr>
          <w:u w:val="none"/>
        </w:rPr>
        <w:t>9</w:t>
      </w:r>
      <w:r w:rsidR="00724450">
        <w:rPr>
          <w:u w:val="none"/>
        </w:rPr>
        <w:t>.</w:t>
      </w:r>
      <w:bookmarkEnd w:id="16"/>
    </w:p>
    <w:p w14:paraId="311F1E57" w14:textId="40871663" w:rsidR="00AB32DC" w:rsidRPr="00AB32DC" w:rsidRDefault="00AB32DC" w:rsidP="00AB32DC">
      <w:pPr>
        <w:pStyle w:val="Titre1"/>
      </w:pPr>
      <w:bookmarkStart w:id="18" w:name="_Ref409606215"/>
      <w:r w:rsidRPr="00CF290E">
        <w:rPr>
          <w:rStyle w:val="Lienhypertextesuivivisit"/>
        </w:rPr>
        <w:t xml:space="preserve">« </w:t>
      </w:r>
      <w:hyperlink r:id="rId89" w:history="1">
        <w:r w:rsidRPr="00CF290E">
          <w:rPr>
            <w:rStyle w:val="Lienhypertextesuivivisit"/>
          </w:rPr>
          <w:t>Le montant et le nombre des transactions de logements anciens depuis 19</w:t>
        </w:r>
        <w:r w:rsidR="00206471" w:rsidRPr="00CF290E">
          <w:rPr>
            <w:rStyle w:val="Lienhypertextesuivivisit"/>
          </w:rPr>
          <w:t>67</w:t>
        </w:r>
        <w:r w:rsidR="00CF290E" w:rsidRPr="00CF290E">
          <w:rPr>
            <w:rStyle w:val="Lienhypertextesuivivisit"/>
          </w:rPr>
          <w:t xml:space="preserve"> et leurs « </w:t>
        </w:r>
        <w:r w:rsidRPr="00CF290E">
          <w:rPr>
            <w:rStyle w:val="Lienhypertextesuivivisit"/>
          </w:rPr>
          <w:t>tendances longues</w:t>
        </w:r>
      </w:hyperlink>
      <w:r w:rsidR="00CF290E">
        <w:rPr>
          <w:u w:val="none"/>
        </w:rPr>
        <w:t> »</w:t>
      </w:r>
      <w:r w:rsidRPr="00206471">
        <w:rPr>
          <w:u w:val="none"/>
        </w:rPr>
        <w:t xml:space="preserve"> », J. Friggit, CGEDD, 2015.</w:t>
      </w:r>
      <w:bookmarkEnd w:id="18"/>
    </w:p>
    <w:bookmarkEnd w:id="17"/>
    <w:p w14:paraId="11DBB0CC" w14:textId="7F2E3632" w:rsidR="00DE11EE" w:rsidRPr="00B71B03" w:rsidRDefault="00DE11EE" w:rsidP="00BB3D00">
      <w:pPr>
        <w:pStyle w:val="Titre1"/>
        <w:rPr>
          <w:rFonts w:cs="Arial"/>
          <w:color w:val="484848"/>
          <w:szCs w:val="16"/>
          <w:u w:val="none"/>
        </w:rPr>
      </w:pPr>
      <w:r w:rsidRPr="00B71B03">
        <w:rPr>
          <w:rFonts w:cs="Arial"/>
          <w:color w:val="484848"/>
          <w:szCs w:val="16"/>
          <w:u w:val="none"/>
        </w:rPr>
        <w:t>« </w:t>
      </w:r>
      <w:hyperlink r:id="rId90" w:tgtFrame="_blank" w:tooltip="Ouvrir le document Recettes en droits de mutation des départements : une euphorie qui ne saurait perdurer dans une nouvelle fenêtre" w:history="1">
        <w:r w:rsidRPr="00474F55">
          <w:rPr>
            <w:rStyle w:val="Lienhypertextesuivivisit"/>
          </w:rPr>
          <w:t>Recettes en droits de mutation des départements : une euphorie qui ne saurait perdurer</w:t>
        </w:r>
      </w:hyperlink>
      <w:r w:rsidRPr="00B71B03">
        <w:rPr>
          <w:rFonts w:cs="Arial"/>
          <w:color w:val="484848"/>
          <w:szCs w:val="16"/>
          <w:u w:val="none"/>
        </w:rPr>
        <w:t xml:space="preserve"> », J.</w:t>
      </w:r>
      <w:r w:rsidR="00607E40" w:rsidRPr="00B71B03">
        <w:rPr>
          <w:rFonts w:cs="Arial"/>
          <w:color w:val="484848"/>
          <w:szCs w:val="16"/>
          <w:u w:val="none"/>
        </w:rPr>
        <w:t xml:space="preserve"> </w:t>
      </w:r>
      <w:r w:rsidRPr="00B71B03">
        <w:rPr>
          <w:rFonts w:cs="Arial"/>
          <w:color w:val="484848"/>
          <w:szCs w:val="16"/>
          <w:u w:val="none"/>
        </w:rPr>
        <w:t>Friggit, Urbanissimo, n° 87, 2005</w:t>
      </w:r>
      <w:r w:rsidR="00724450" w:rsidRPr="00B71B03">
        <w:rPr>
          <w:rFonts w:cs="Arial"/>
          <w:color w:val="484848"/>
          <w:szCs w:val="16"/>
          <w:u w:val="none"/>
        </w:rPr>
        <w:t>.</w:t>
      </w:r>
    </w:p>
    <w:bookmarkStart w:id="19" w:name="_Ref294158596"/>
    <w:p w14:paraId="341A36A3" w14:textId="5ED131E4" w:rsidR="000C1F8F" w:rsidRDefault="000C1F8F" w:rsidP="000C1F8F">
      <w:pPr>
        <w:pStyle w:val="Titre1"/>
        <w:rPr>
          <w:rStyle w:val="Lienhypertexte"/>
        </w:rPr>
      </w:pPr>
      <w:r w:rsidRPr="009D4693">
        <w:rPr>
          <w:rStyle w:val="Lienhypertextesuivivisit"/>
        </w:rPr>
        <w:fldChar w:fldCharType="begin"/>
      </w:r>
      <w:r w:rsidR="00835EDD">
        <w:rPr>
          <w:rStyle w:val="Lienhypertextesuivivisit"/>
        </w:rPr>
        <w:instrText>HYPERLINK "http://www.cgedd.fr/valeur-immobilier-2011-assiette-commentaire.doc"</w:instrText>
      </w:r>
      <w:r w:rsidR="00835EDD" w:rsidRPr="009D4693">
        <w:rPr>
          <w:rStyle w:val="Lienhypertextesuivivisit"/>
        </w:rPr>
      </w:r>
      <w:r w:rsidRPr="009D4693">
        <w:rPr>
          <w:rStyle w:val="Lienhypertextesuivivisit"/>
        </w:rPr>
        <w:fldChar w:fldCharType="separate"/>
      </w:r>
      <w:r w:rsidRPr="009D4693">
        <w:rPr>
          <w:rStyle w:val="Lienhypertextesuivivisit"/>
        </w:rPr>
        <w:t>Méthode de calcul de l’assiette des droits de mutation immobiliers</w:t>
      </w:r>
      <w:r w:rsidRPr="009D4693">
        <w:rPr>
          <w:rStyle w:val="Lienhypertextesuivivisit"/>
        </w:rPr>
        <w:fldChar w:fldCharType="end"/>
      </w:r>
      <w:r>
        <w:rPr>
          <w:rStyle w:val="Lienhypertexte"/>
        </w:rPr>
        <w:t>.</w:t>
      </w:r>
      <w:bookmarkEnd w:id="19"/>
    </w:p>
    <w:bookmarkStart w:id="20" w:name="_Ref209407264"/>
    <w:bookmarkStart w:id="21" w:name="_Ref414440661"/>
    <w:bookmarkStart w:id="22" w:name="dossiercomplet"/>
    <w:p w14:paraId="6CAECB5A" w14:textId="6C28C683" w:rsidR="002345A7" w:rsidRDefault="00C612DF" w:rsidP="00CB6BFE">
      <w:pPr>
        <w:pStyle w:val="Titre1"/>
        <w:rPr>
          <w:u w:val="none"/>
        </w:rPr>
      </w:pPr>
      <w:r w:rsidRPr="00C612DF">
        <w:rPr>
          <w:rStyle w:val="Lienhypertextesuivivisit"/>
        </w:rPr>
        <w:fldChar w:fldCharType="begin"/>
      </w:r>
      <w:r w:rsidR="00835EDD">
        <w:rPr>
          <w:rStyle w:val="Lienhypertextesuivivisit"/>
        </w:rPr>
        <w:instrText>HYPERLINK "http://www.cgedd.developpement-durable.gouv.fr/nombre-et-montant-des-ventes-a1003.html"</w:instrText>
      </w:r>
      <w:r w:rsidR="00835EDD" w:rsidRPr="00C612DF">
        <w:rPr>
          <w:rStyle w:val="Lienhypertextesuivivisit"/>
        </w:rPr>
      </w:r>
      <w:r w:rsidRPr="00C612DF">
        <w:rPr>
          <w:rStyle w:val="Lienhypertextesuivivisit"/>
        </w:rPr>
        <w:fldChar w:fldCharType="separate"/>
      </w:r>
      <w:r w:rsidRPr="00C612DF">
        <w:rPr>
          <w:rStyle w:val="Lienhypertextesuivivisit"/>
        </w:rPr>
        <w:t xml:space="preserve">Méthode d’estimation du nombre de ventes </w:t>
      </w:r>
      <w:r w:rsidR="00866DA5">
        <w:rPr>
          <w:rStyle w:val="Lienhypertextesuivivisit"/>
        </w:rPr>
        <w:t>immobilières</w:t>
      </w:r>
      <w:r w:rsidRPr="00C612DF">
        <w:rPr>
          <w:rStyle w:val="Lienhypertextesuivivisit"/>
        </w:rPr>
        <w:fldChar w:fldCharType="end"/>
      </w:r>
      <w:r>
        <w:rPr>
          <w:u w:val="none"/>
        </w:rPr>
        <w:t xml:space="preserve">, </w:t>
      </w:r>
      <w:r w:rsidR="002345A7" w:rsidRPr="009F3F1B">
        <w:rPr>
          <w:u w:val="none"/>
        </w:rPr>
        <w:t>« </w:t>
      </w:r>
      <w:hyperlink r:id="rId91" w:history="1">
        <w:r w:rsidR="002345A7" w:rsidRPr="008B1CAF">
          <w:rPr>
            <w:rStyle w:val="Lienhypertextesuivivisit"/>
          </w:rPr>
          <w:t>Diverses évaluations du nombre de transactions de logements anciens</w:t>
        </w:r>
      </w:hyperlink>
      <w:r w:rsidR="000E73ED" w:rsidRPr="009F3F1B">
        <w:rPr>
          <w:u w:val="none"/>
        </w:rPr>
        <w:t> », J.</w:t>
      </w:r>
      <w:r w:rsidR="00607E40">
        <w:rPr>
          <w:u w:val="none"/>
        </w:rPr>
        <w:t xml:space="preserve"> </w:t>
      </w:r>
      <w:r w:rsidR="000E73ED" w:rsidRPr="009F3F1B">
        <w:rPr>
          <w:u w:val="none"/>
        </w:rPr>
        <w:t>Friggit, CGEDD, 2008</w:t>
      </w:r>
      <w:bookmarkStart w:id="23" w:name="_Ref209407278"/>
      <w:bookmarkEnd w:id="20"/>
      <w:r>
        <w:rPr>
          <w:u w:val="none"/>
        </w:rPr>
        <w:t xml:space="preserve"> et </w:t>
      </w:r>
      <w:r w:rsidR="002345A7" w:rsidRPr="009F3F1B">
        <w:rPr>
          <w:u w:val="none"/>
        </w:rPr>
        <w:t>« </w:t>
      </w:r>
      <w:hyperlink r:id="rId92" w:history="1">
        <w:r w:rsidR="002345A7" w:rsidRPr="008B1CAF">
          <w:rPr>
            <w:rStyle w:val="Lienhypertextesuivivisit"/>
          </w:rPr>
          <w:t>Estimation du nombre de transactions de logements anciens à finalité conjoncturelle</w:t>
        </w:r>
      </w:hyperlink>
      <w:r w:rsidR="002345A7" w:rsidRPr="009F3F1B">
        <w:rPr>
          <w:u w:val="none"/>
        </w:rPr>
        <w:t> », J.</w:t>
      </w:r>
      <w:r w:rsidR="00607E40">
        <w:rPr>
          <w:u w:val="none"/>
        </w:rPr>
        <w:t xml:space="preserve"> </w:t>
      </w:r>
      <w:r w:rsidR="002345A7" w:rsidRPr="009F3F1B">
        <w:rPr>
          <w:u w:val="none"/>
        </w:rPr>
        <w:t>Friggi</w:t>
      </w:r>
      <w:r w:rsidR="000E73ED" w:rsidRPr="009F3F1B">
        <w:rPr>
          <w:u w:val="none"/>
        </w:rPr>
        <w:t>t, CGEDD, 2008</w:t>
      </w:r>
      <w:bookmarkEnd w:id="23"/>
      <w:r w:rsidR="00724450">
        <w:rPr>
          <w:u w:val="none"/>
        </w:rPr>
        <w:t>.</w:t>
      </w:r>
      <w:bookmarkEnd w:id="21"/>
    </w:p>
    <w:bookmarkStart w:id="24" w:name="_Ref209405245"/>
    <w:bookmarkStart w:id="25" w:name="_Ref216850231"/>
    <w:p w14:paraId="08BC281F" w14:textId="4E1AF366" w:rsidR="00C146B2" w:rsidRDefault="00C146B2" w:rsidP="00C146B2">
      <w:pPr>
        <w:pStyle w:val="Titre1"/>
        <w:rPr>
          <w:rStyle w:val="Lienhypertexte"/>
        </w:rPr>
      </w:pPr>
      <w:r w:rsidRPr="00263EC4">
        <w:rPr>
          <w:rStyle w:val="Lienhypertextesuivivisit"/>
        </w:rPr>
        <w:fldChar w:fldCharType="begin"/>
      </w:r>
      <w:r w:rsidR="00835EDD">
        <w:rPr>
          <w:rStyle w:val="Lienhypertextesuivivisit"/>
        </w:rPr>
        <w:instrText>HYPERLINK "http://www.cgedd.developpement-durable.gouv.fr/droits-de-mutation-immobiliers-par-a1652.html"</w:instrText>
      </w:r>
      <w:r w:rsidR="00835EDD" w:rsidRPr="00263EC4">
        <w:rPr>
          <w:rStyle w:val="Lienhypertextesuivivisit"/>
        </w:rPr>
      </w:r>
      <w:r w:rsidRPr="00263EC4">
        <w:rPr>
          <w:rStyle w:val="Lienhypertextesuivivisit"/>
        </w:rPr>
        <w:fldChar w:fldCharType="separate"/>
      </w:r>
      <w:r w:rsidRPr="00263EC4">
        <w:rPr>
          <w:rStyle w:val="Lienhypertextesuivivisit"/>
        </w:rPr>
        <w:t>Assiette des droits de mutation immobiliers, par département, mois et régime depuis 2000 (DGFiP-MEDOC)</w:t>
      </w:r>
      <w:bookmarkEnd w:id="24"/>
      <w:bookmarkEnd w:id="25"/>
      <w:r w:rsidRPr="00263EC4">
        <w:rPr>
          <w:rStyle w:val="Lienhypertextesuivivisit"/>
        </w:rPr>
        <w:fldChar w:fldCharType="end"/>
      </w:r>
      <w:r>
        <w:rPr>
          <w:rStyle w:val="Lienhypertexte"/>
        </w:rPr>
        <w:t>.</w:t>
      </w:r>
    </w:p>
    <w:bookmarkStart w:id="26" w:name="_Ref233419714"/>
    <w:bookmarkStart w:id="27" w:name="_Ref209407294"/>
    <w:p w14:paraId="355BDA72" w14:textId="069166D8" w:rsidR="00C146B2" w:rsidRPr="00C146B2" w:rsidRDefault="00C146B2" w:rsidP="000C1F8F">
      <w:pPr>
        <w:pStyle w:val="Titre1"/>
      </w:pPr>
      <w:r w:rsidRPr="008B1CAF">
        <w:rPr>
          <w:rStyle w:val="Lienhypertextesuivivisit"/>
        </w:rPr>
        <w:fldChar w:fldCharType="begin"/>
      </w:r>
      <w:r w:rsidR="00835EDD">
        <w:rPr>
          <w:rStyle w:val="Lienhypertextesuivivisit"/>
        </w:rPr>
        <w:instrText>HYPERLINK "http://www.cgedd.fr/nombre-vente-maison-appartement-ancien.xls"</w:instrText>
      </w:r>
      <w:r w:rsidR="00835EDD" w:rsidRPr="008B1CAF">
        <w:rPr>
          <w:rStyle w:val="Lienhypertextesuivivisit"/>
        </w:rPr>
      </w:r>
      <w:r w:rsidRPr="008B1CAF">
        <w:rPr>
          <w:rStyle w:val="Lienhypertextesuivivisit"/>
        </w:rPr>
        <w:fldChar w:fldCharType="separate"/>
      </w:r>
      <w:r>
        <w:rPr>
          <w:rStyle w:val="Lienhypertextesuivivisit"/>
        </w:rPr>
        <w:t>Nombre de transactions de logements anciens</w:t>
      </w:r>
      <w:r w:rsidRPr="008B1CAF">
        <w:rPr>
          <w:rStyle w:val="Lienhypertextesuivivisit"/>
        </w:rPr>
        <w:fldChar w:fldCharType="end"/>
      </w:r>
      <w:r w:rsidRPr="009F3F1B">
        <w:rPr>
          <w:u w:val="none"/>
        </w:rPr>
        <w:t xml:space="preserve"> </w:t>
      </w:r>
      <w:r>
        <w:rPr>
          <w:u w:val="none"/>
        </w:rPr>
        <w:t>cumulé sur 12 mois depuis 1</w:t>
      </w:r>
      <w:bookmarkEnd w:id="26"/>
      <w:r>
        <w:rPr>
          <w:u w:val="none"/>
        </w:rPr>
        <w:t>967 (valeurs numériques).</w:t>
      </w:r>
      <w:bookmarkEnd w:id="27"/>
    </w:p>
    <w:bookmarkEnd w:id="22"/>
    <w:p w14:paraId="1FD80F33" w14:textId="77777777" w:rsidR="00302C8D" w:rsidRPr="009F3F1B" w:rsidRDefault="00302C8D" w:rsidP="00302C8D">
      <w:pPr>
        <w:widowControl w:val="0"/>
        <w:tabs>
          <w:tab w:val="num" w:pos="567"/>
        </w:tabs>
        <w:ind w:left="227"/>
        <w:rPr>
          <w:rFonts w:cs="Arial"/>
          <w:b/>
          <w:i/>
          <w:iCs/>
          <w:szCs w:val="18"/>
        </w:rPr>
      </w:pPr>
      <w:r>
        <w:rPr>
          <w:rFonts w:cs="Arial"/>
          <w:b/>
          <w:i/>
          <w:iCs/>
          <w:szCs w:val="18"/>
        </w:rPr>
        <w:t>* Dette immobilière des ménages</w:t>
      </w:r>
    </w:p>
    <w:p w14:paraId="3ECBCB74" w14:textId="3862F204" w:rsidR="00302C8D" w:rsidRPr="00C330D5" w:rsidRDefault="00302C8D" w:rsidP="00302C8D">
      <w:pPr>
        <w:pStyle w:val="Titre1"/>
        <w:rPr>
          <w:u w:val="none"/>
        </w:rPr>
      </w:pPr>
      <w:bookmarkStart w:id="28" w:name="_Ref268589463"/>
      <w:r w:rsidRPr="00C330D5">
        <w:rPr>
          <w:u w:val="none"/>
        </w:rPr>
        <w:t>« </w:t>
      </w:r>
      <w:hyperlink r:id="rId93" w:history="1">
        <w:r>
          <w:rPr>
            <w:rStyle w:val="Lienhypertextesuivivisit"/>
          </w:rPr>
          <w:t>Projection à horizon 2030 de la dette immobilière des ménages</w:t>
        </w:r>
      </w:hyperlink>
      <w:r w:rsidRPr="00C330D5">
        <w:rPr>
          <w:u w:val="none"/>
        </w:rPr>
        <w:t> », J.</w:t>
      </w:r>
      <w:r>
        <w:rPr>
          <w:u w:val="none"/>
        </w:rPr>
        <w:t xml:space="preserve"> </w:t>
      </w:r>
      <w:r w:rsidRPr="00C330D5">
        <w:rPr>
          <w:u w:val="none"/>
        </w:rPr>
        <w:t>Friggit, CGEDD, 2010</w:t>
      </w:r>
      <w:r>
        <w:rPr>
          <w:u w:val="none"/>
        </w:rPr>
        <w:t>.</w:t>
      </w:r>
      <w:bookmarkEnd w:id="28"/>
    </w:p>
    <w:p w14:paraId="2B48F643"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 xml:space="preserve">Prix des actions et taux d’intérêt </w:t>
      </w:r>
      <w:r w:rsidR="000E73ED" w:rsidRPr="009F3F1B">
        <w:rPr>
          <w:rFonts w:cs="Arial"/>
          <w:b/>
          <w:i/>
          <w:iCs/>
          <w:szCs w:val="18"/>
        </w:rPr>
        <w:t>sur longue période</w:t>
      </w:r>
    </w:p>
    <w:p w14:paraId="291C2901" w14:textId="77777777" w:rsidR="002345A7" w:rsidRDefault="002345A7" w:rsidP="00CB6BFE">
      <w:pPr>
        <w:pStyle w:val="Titre1"/>
        <w:rPr>
          <w:u w:val="none"/>
        </w:rPr>
      </w:pPr>
      <w:r w:rsidRPr="009F3F1B">
        <w:rPr>
          <w:u w:val="none"/>
        </w:rPr>
        <w:t>« La Bourse de Paris au XIXe siècle », P. Arbulu, Connaissances et Savoirs, 2007, ouvrage extrait de « Le marché parisien des actions au XIXe siècle: performance et efficience d'un marché émergent », P.</w:t>
      </w:r>
      <w:r w:rsidR="00607E40">
        <w:rPr>
          <w:u w:val="none"/>
        </w:rPr>
        <w:t xml:space="preserve"> </w:t>
      </w:r>
      <w:r w:rsidRPr="009F3F1B">
        <w:rPr>
          <w:u w:val="none"/>
        </w:rPr>
        <w:t>Arbulu, thèse de doctorat ès sciences de gest</w:t>
      </w:r>
      <w:r w:rsidR="000E73ED" w:rsidRPr="009F3F1B">
        <w:rPr>
          <w:u w:val="none"/>
        </w:rPr>
        <w:t>ion, Université d'Orléans, 1998</w:t>
      </w:r>
      <w:r w:rsidR="00724450">
        <w:rPr>
          <w:u w:val="none"/>
        </w:rPr>
        <w:t>.</w:t>
      </w:r>
    </w:p>
    <w:p w14:paraId="385DDBD6" w14:textId="77777777" w:rsidR="002345A7" w:rsidRPr="009F3F1B" w:rsidRDefault="001A424C" w:rsidP="00CB6BFE">
      <w:pPr>
        <w:pStyle w:val="Titre1"/>
        <w:rPr>
          <w:u w:val="none"/>
        </w:rPr>
      </w:pPr>
      <w:r w:rsidRPr="009F3F1B">
        <w:rPr>
          <w:u w:val="none"/>
        </w:rPr>
        <w:t xml:space="preserve"> </w:t>
      </w:r>
      <w:r w:rsidR="002345A7" w:rsidRPr="009F3F1B">
        <w:rPr>
          <w:u w:val="none"/>
        </w:rPr>
        <w:t>« Le marché des rentes françaises au XIXe siècle et la crédibilité financière de l’État », J.-M. Vaslin, thèse de doctorat ès sciences de gestion, Université d’</w:t>
      </w:r>
      <w:r w:rsidR="000E73ED" w:rsidRPr="009F3F1B">
        <w:rPr>
          <w:u w:val="none"/>
        </w:rPr>
        <w:t>Orléans, 1999</w:t>
      </w:r>
      <w:r w:rsidR="00724450">
        <w:rPr>
          <w:u w:val="none"/>
        </w:rPr>
        <w:t>.</w:t>
      </w:r>
    </w:p>
    <w:p w14:paraId="03C77DBB" w14:textId="77777777" w:rsidR="002345A7" w:rsidRPr="009F3F1B" w:rsidRDefault="002345A7" w:rsidP="00CB6BFE">
      <w:pPr>
        <w:pStyle w:val="Titre1"/>
        <w:rPr>
          <w:u w:val="none"/>
        </w:rPr>
      </w:pPr>
      <w:r w:rsidRPr="009F3F1B">
        <w:rPr>
          <w:u w:val="none"/>
        </w:rPr>
        <w:t>« Le marché financier français au XIXe siècle », 2 tomes, ouvrage collectif sous la direction de P.-C. Hautcoeur et G. Gallais-Hamo</w:t>
      </w:r>
      <w:r w:rsidR="000E73ED" w:rsidRPr="009F3F1B">
        <w:rPr>
          <w:u w:val="none"/>
        </w:rPr>
        <w:t>nno, Pub</w:t>
      </w:r>
      <w:r w:rsidR="00724450">
        <w:rPr>
          <w:u w:val="none"/>
        </w:rPr>
        <w:t>lications</w:t>
      </w:r>
      <w:r w:rsidR="000E73ED" w:rsidRPr="009F3F1B">
        <w:rPr>
          <w:u w:val="none"/>
        </w:rPr>
        <w:t xml:space="preserve"> de la Sorbonne, 2007</w:t>
      </w:r>
      <w:r w:rsidR="00724450">
        <w:rPr>
          <w:u w:val="none"/>
        </w:rPr>
        <w:t>.</w:t>
      </w:r>
    </w:p>
    <w:p w14:paraId="172F325F" w14:textId="77777777" w:rsidR="002345A7" w:rsidRPr="009F3F1B" w:rsidRDefault="002345A7" w:rsidP="00CB6BFE">
      <w:pPr>
        <w:pStyle w:val="Titre1"/>
        <w:rPr>
          <w:u w:val="none"/>
        </w:rPr>
      </w:pPr>
      <w:r w:rsidRPr="009F3F1B">
        <w:rPr>
          <w:u w:val="none"/>
        </w:rPr>
        <w:t xml:space="preserve">« Des variations des taux d’intérêt en France de 1800 à nos jours », L.-J. Loutchitch, </w:t>
      </w:r>
      <w:r w:rsidR="000E73ED" w:rsidRPr="009F3F1B">
        <w:rPr>
          <w:u w:val="none"/>
        </w:rPr>
        <w:t>Alcan, Paris, 1930</w:t>
      </w:r>
      <w:r w:rsidR="00724450">
        <w:rPr>
          <w:u w:val="none"/>
        </w:rPr>
        <w:t>.</w:t>
      </w:r>
    </w:p>
    <w:p w14:paraId="08AC2C46" w14:textId="77777777" w:rsidR="002345A7" w:rsidRPr="009F3F1B" w:rsidRDefault="002345A7" w:rsidP="00CB6BFE">
      <w:pPr>
        <w:pStyle w:val="Titre1"/>
        <w:rPr>
          <w:u w:val="none"/>
          <w:lang w:val="en-GB"/>
        </w:rPr>
      </w:pPr>
      <w:r w:rsidRPr="009F3F1B">
        <w:rPr>
          <w:u w:val="none"/>
          <w:lang w:val="en-GB"/>
        </w:rPr>
        <w:t>« Indexes of US Stock Prices from 1802 to 1987 », G.</w:t>
      </w:r>
      <w:r w:rsidR="00607E40">
        <w:rPr>
          <w:u w:val="none"/>
          <w:lang w:val="en-GB"/>
        </w:rPr>
        <w:t xml:space="preserve"> </w:t>
      </w:r>
      <w:r w:rsidRPr="009F3F1B">
        <w:rPr>
          <w:u w:val="none"/>
          <w:lang w:val="en-GB"/>
        </w:rPr>
        <w:t>Schwert, Journa</w:t>
      </w:r>
      <w:r w:rsidR="000E73ED" w:rsidRPr="009F3F1B">
        <w:rPr>
          <w:u w:val="none"/>
          <w:lang w:val="en-GB"/>
        </w:rPr>
        <w:t>l of Business, vol.63 n°3, 1990</w:t>
      </w:r>
      <w:r w:rsidR="00547CF9">
        <w:rPr>
          <w:u w:val="none"/>
          <w:lang w:val="en-GB"/>
        </w:rPr>
        <w:t>.</w:t>
      </w:r>
    </w:p>
    <w:p w14:paraId="502B3107" w14:textId="77777777" w:rsidR="002345A7" w:rsidRPr="009F3F1B" w:rsidRDefault="002345A7" w:rsidP="00CB6BFE">
      <w:pPr>
        <w:pStyle w:val="Titre1"/>
        <w:rPr>
          <w:u w:val="none"/>
        </w:rPr>
      </w:pPr>
      <w:r w:rsidRPr="009F3F1B">
        <w:rPr>
          <w:u w:val="none"/>
        </w:rPr>
        <w:t xml:space="preserve">« </w:t>
      </w:r>
      <w:r w:rsidRPr="002843C0">
        <w:rPr>
          <w:u w:val="none"/>
        </w:rPr>
        <w:t>Irrational</w:t>
      </w:r>
      <w:r w:rsidRPr="00607E40">
        <w:rPr>
          <w:u w:val="none"/>
        </w:rPr>
        <w:t xml:space="preserve"> </w:t>
      </w:r>
      <w:r w:rsidRPr="002843C0">
        <w:rPr>
          <w:u w:val="none"/>
        </w:rPr>
        <w:t>Exuberance</w:t>
      </w:r>
      <w:r w:rsidRPr="009F3F1B">
        <w:rPr>
          <w:u w:val="none"/>
        </w:rPr>
        <w:t xml:space="preserve"> », Second Edition, R.</w:t>
      </w:r>
      <w:r w:rsidR="00607E40">
        <w:rPr>
          <w:u w:val="none"/>
        </w:rPr>
        <w:t xml:space="preserve"> </w:t>
      </w:r>
      <w:r w:rsidRPr="009F3F1B">
        <w:rPr>
          <w:u w:val="none"/>
        </w:rPr>
        <w:t xml:space="preserve">Shiller, Princeton </w:t>
      </w:r>
      <w:r w:rsidRPr="002843C0">
        <w:rPr>
          <w:u w:val="none"/>
        </w:rPr>
        <w:t>University</w:t>
      </w:r>
      <w:r w:rsidRPr="00607E40">
        <w:rPr>
          <w:u w:val="none"/>
        </w:rPr>
        <w:t xml:space="preserve"> </w:t>
      </w:r>
      <w:r w:rsidRPr="002843C0">
        <w:rPr>
          <w:u w:val="none"/>
        </w:rPr>
        <w:t>Press</w:t>
      </w:r>
      <w:r w:rsidRPr="009F3F1B">
        <w:rPr>
          <w:u w:val="none"/>
        </w:rPr>
        <w:t>, 2005 (traite également du prix des logement</w:t>
      </w:r>
      <w:r w:rsidR="000E73ED" w:rsidRPr="009F3F1B">
        <w:rPr>
          <w:u w:val="none"/>
        </w:rPr>
        <w:t>s sur le long terme)</w:t>
      </w:r>
      <w:r w:rsidR="00724450">
        <w:rPr>
          <w:u w:val="none"/>
        </w:rPr>
        <w:t>.</w:t>
      </w:r>
    </w:p>
    <w:p w14:paraId="2404AAD8"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Agrégats macr</w:t>
      </w:r>
      <w:r w:rsidR="000E73ED" w:rsidRPr="009F3F1B">
        <w:rPr>
          <w:rFonts w:cs="Arial"/>
          <w:b/>
          <w:i/>
          <w:iCs/>
          <w:szCs w:val="18"/>
        </w:rPr>
        <w:t xml:space="preserve">oéconomiques </w:t>
      </w:r>
      <w:r w:rsidR="001A424C">
        <w:rPr>
          <w:rFonts w:cs="Arial"/>
          <w:b/>
          <w:i/>
          <w:iCs/>
          <w:szCs w:val="18"/>
        </w:rPr>
        <w:t xml:space="preserve">et démographiques </w:t>
      </w:r>
      <w:r w:rsidR="000E73ED" w:rsidRPr="009F3F1B">
        <w:rPr>
          <w:rFonts w:cs="Arial"/>
          <w:b/>
          <w:i/>
          <w:iCs/>
          <w:szCs w:val="18"/>
        </w:rPr>
        <w:t>sur longue période</w:t>
      </w:r>
    </w:p>
    <w:p w14:paraId="621AD704" w14:textId="77777777" w:rsidR="002345A7" w:rsidRPr="009F3F1B" w:rsidRDefault="002345A7" w:rsidP="00CB6BFE">
      <w:pPr>
        <w:pStyle w:val="Titre1"/>
        <w:rPr>
          <w:u w:val="none"/>
        </w:rPr>
      </w:pPr>
      <w:r w:rsidRPr="009F3F1B">
        <w:rPr>
          <w:u w:val="none"/>
        </w:rPr>
        <w:t xml:space="preserve">« L’économie française au XIXème siècle, analyse macroéconomique », M. Lévy-Leboyer et </w:t>
      </w:r>
      <w:r w:rsidR="000E73ED" w:rsidRPr="009F3F1B">
        <w:rPr>
          <w:u w:val="none"/>
        </w:rPr>
        <w:t>F. Bourguignon, Économica, 1985</w:t>
      </w:r>
      <w:r w:rsidR="00724450">
        <w:rPr>
          <w:u w:val="none"/>
        </w:rPr>
        <w:t>.</w:t>
      </w:r>
    </w:p>
    <w:p w14:paraId="3AB79749" w14:textId="77777777" w:rsidR="002345A7" w:rsidRPr="009F3F1B" w:rsidRDefault="002345A7" w:rsidP="00CB6BFE">
      <w:pPr>
        <w:pStyle w:val="Titre1"/>
        <w:rPr>
          <w:u w:val="none"/>
        </w:rPr>
      </w:pPr>
      <w:r w:rsidRPr="009F3F1B">
        <w:rPr>
          <w:u w:val="none"/>
        </w:rPr>
        <w:t>« Essai sur les mouvements des revenus et l’activité économique en France de 1789 à 1820 », A. Chab</w:t>
      </w:r>
      <w:r w:rsidR="000E73ED" w:rsidRPr="009F3F1B">
        <w:rPr>
          <w:u w:val="none"/>
        </w:rPr>
        <w:t>ert, Librairie de Médicis, 1949</w:t>
      </w:r>
      <w:r w:rsidR="00724450">
        <w:rPr>
          <w:u w:val="none"/>
        </w:rPr>
        <w:t>.</w:t>
      </w:r>
    </w:p>
    <w:p w14:paraId="30339566" w14:textId="77777777" w:rsidR="002345A7" w:rsidRPr="009F3F1B" w:rsidRDefault="002345A7" w:rsidP="00CB6BFE">
      <w:pPr>
        <w:pStyle w:val="Titre1"/>
        <w:rPr>
          <w:u w:val="none"/>
        </w:rPr>
      </w:pPr>
      <w:r w:rsidRPr="009F3F1B">
        <w:rPr>
          <w:u w:val="none"/>
        </w:rPr>
        <w:t>« Le produit intérieur brut de la France de 1789 à 1982 », J.-C. Toutain</w:t>
      </w:r>
      <w:r w:rsidR="000E73ED" w:rsidRPr="009F3F1B">
        <w:rPr>
          <w:u w:val="none"/>
        </w:rPr>
        <w:t>, Cahiers de l’ISMEA n°15, 1987</w:t>
      </w:r>
      <w:r w:rsidR="00724450">
        <w:rPr>
          <w:u w:val="none"/>
        </w:rPr>
        <w:t>.</w:t>
      </w:r>
    </w:p>
    <w:p w14:paraId="45F747A4" w14:textId="6566273F" w:rsidR="002345A7" w:rsidRDefault="00713DBC" w:rsidP="00CB6BFE">
      <w:pPr>
        <w:pStyle w:val="Titre1"/>
        <w:rPr>
          <w:u w:val="none"/>
        </w:rPr>
      </w:pPr>
      <w:hyperlink r:id="rId94" w:history="1">
        <w:r w:rsidR="002345A7" w:rsidRPr="008B1CAF">
          <w:rPr>
            <w:rStyle w:val="Lienhypertextesuivivisit"/>
          </w:rPr>
          <w:t>Séries longues macroéconomiques</w:t>
        </w:r>
      </w:hyperlink>
      <w:r w:rsidR="000E73ED" w:rsidRPr="009F3F1B">
        <w:rPr>
          <w:u w:val="none"/>
        </w:rPr>
        <w:t>, P.</w:t>
      </w:r>
      <w:r w:rsidR="00607E40">
        <w:rPr>
          <w:u w:val="none"/>
        </w:rPr>
        <w:t xml:space="preserve"> </w:t>
      </w:r>
      <w:r w:rsidR="000E73ED" w:rsidRPr="009F3F1B">
        <w:rPr>
          <w:u w:val="none"/>
        </w:rPr>
        <w:t>Villa, CEPII</w:t>
      </w:r>
      <w:r w:rsidR="00724450">
        <w:rPr>
          <w:u w:val="none"/>
        </w:rPr>
        <w:t>.</w:t>
      </w:r>
    </w:p>
    <w:p w14:paraId="4876B6A4" w14:textId="77777777" w:rsidR="006F2733" w:rsidRDefault="006F2733" w:rsidP="00A552A2">
      <w:pPr>
        <w:widowControl w:val="0"/>
        <w:spacing w:line="200" w:lineRule="exact"/>
        <w:rPr>
          <w:rFonts w:cs="Arial"/>
        </w:rPr>
      </w:pPr>
    </w:p>
    <w:p w14:paraId="7CB49B34" w14:textId="5DEF82B8" w:rsidR="00A552A2" w:rsidRPr="00EA3E36" w:rsidRDefault="00A552A2" w:rsidP="00A552A2">
      <w:pPr>
        <w:widowControl w:val="0"/>
        <w:spacing w:line="200" w:lineRule="exact"/>
        <w:rPr>
          <w:rFonts w:cs="Arial"/>
        </w:rPr>
      </w:pPr>
      <w:r w:rsidRPr="00EA3E36">
        <w:rPr>
          <w:rFonts w:cs="Arial"/>
        </w:rPr>
        <w:t>Des actualisations du présent document et des documents complémentaires peuvent être téléchargés sur</w:t>
      </w:r>
      <w:r>
        <w:rPr>
          <w:rFonts w:cs="Arial"/>
        </w:rPr>
        <w:t xml:space="preserve"> la page </w:t>
      </w:r>
      <w:r w:rsidR="00F3629B" w:rsidRPr="00F3629B">
        <w:rPr>
          <w:rStyle w:val="Lienhypertextesuivivisit"/>
        </w:rPr>
        <w:t>http://www.cgedd.developpement-durable.gouv.fr/prix-immobilier-evolution-a-long-terme-a1048.html</w:t>
      </w:r>
      <w:r>
        <w:rPr>
          <w:rFonts w:cs="Arial"/>
        </w:rPr>
        <w:t>.</w:t>
      </w:r>
    </w:p>
    <w:p w14:paraId="37B32136" w14:textId="77777777" w:rsidR="00A552A2" w:rsidRDefault="002345A7" w:rsidP="00A91DB0">
      <w:pPr>
        <w:widowControl w:val="0"/>
        <w:spacing w:line="200" w:lineRule="exact"/>
        <w:rPr>
          <w:rFonts w:cs="Arial"/>
          <w:b/>
          <w:bCs/>
          <w:i/>
          <w:iCs/>
        </w:rPr>
      </w:pPr>
      <w:r w:rsidRPr="00A05229">
        <w:rPr>
          <w:rFonts w:cs="Arial"/>
          <w:b/>
          <w:bCs/>
          <w:i/>
          <w:iCs/>
        </w:rPr>
        <w:t>L’interprétation de certains graphiques est délicate ; il est vivement conseillé, pour éviter d’en tirer des conclusions erronées, de consulter les références.</w:t>
      </w:r>
      <w:r w:rsidR="00A91DB0">
        <w:rPr>
          <w:rFonts w:cs="Arial"/>
          <w:b/>
          <w:bCs/>
          <w:i/>
          <w:iCs/>
        </w:rPr>
        <w:t xml:space="preserve">  </w:t>
      </w:r>
    </w:p>
    <w:p w14:paraId="6E0DF041" w14:textId="77777777" w:rsidR="00A552A2" w:rsidRDefault="002345A7" w:rsidP="00A91DB0">
      <w:pPr>
        <w:widowControl w:val="0"/>
        <w:spacing w:line="200" w:lineRule="exact"/>
        <w:rPr>
          <w:rFonts w:cs="Arial"/>
        </w:rPr>
      </w:pPr>
      <w:r w:rsidRPr="00EA3E36">
        <w:rPr>
          <w:rFonts w:cs="Arial"/>
        </w:rPr>
        <w:t>Sauf mention contraire, les valeurs sont annuelles avant 1999, trimestrielles ou mensuelles ensuite.  Pour les trimestres ou les mois les plus récents, on utilise parfois des valeurs provisoires.</w:t>
      </w:r>
    </w:p>
    <w:p w14:paraId="27C6CD13" w14:textId="77777777" w:rsidR="002345A7" w:rsidRPr="00EA3E36" w:rsidRDefault="002345A7" w:rsidP="00A91DB0">
      <w:pPr>
        <w:widowControl w:val="0"/>
        <w:spacing w:line="200" w:lineRule="exact"/>
        <w:rPr>
          <w:rFonts w:cs="Arial"/>
        </w:rPr>
      </w:pPr>
      <w:r w:rsidRPr="00EA3E36">
        <w:rPr>
          <w:rFonts w:cs="Arial"/>
        </w:rPr>
        <w:t>L</w:t>
      </w:r>
      <w:r w:rsidR="000B3A96">
        <w:rPr>
          <w:rFonts w:cs="Arial"/>
        </w:rPr>
        <w:t>es gr</w:t>
      </w:r>
      <w:r w:rsidRPr="00EA3E36">
        <w:rPr>
          <w:rFonts w:cs="Arial"/>
        </w:rPr>
        <w:t>a</w:t>
      </w:r>
      <w:r w:rsidR="000B3A96">
        <w:rPr>
          <w:rFonts w:cs="Arial"/>
        </w:rPr>
        <w:t>phiques peuvent être reproduits, pourvu qu’ils le soient intégralement, sans ajout ni omission, et</w:t>
      </w:r>
      <w:r w:rsidRPr="00EA3E36">
        <w:rPr>
          <w:rFonts w:cs="Arial"/>
        </w:rPr>
        <w:t xml:space="preserve"> pourvu que la source figurant sous chacun d’eux soit intégralement reproduite</w:t>
      </w:r>
      <w:r w:rsidR="00A91DB0">
        <w:rPr>
          <w:rFonts w:cs="Arial"/>
        </w:rPr>
        <w:t>, accompagnée d</w:t>
      </w:r>
      <w:r w:rsidR="00B37AE8">
        <w:rPr>
          <w:rFonts w:cs="Arial"/>
        </w:rPr>
        <w:t>u</w:t>
      </w:r>
      <w:r w:rsidR="00A91DB0">
        <w:rPr>
          <w:rFonts w:cs="Arial"/>
        </w:rPr>
        <w:t xml:space="preserve"> lien </w:t>
      </w:r>
      <w:r w:rsidR="00F3629B" w:rsidRPr="00F3629B">
        <w:rPr>
          <w:rStyle w:val="Lienhypertextesuivivisit"/>
        </w:rPr>
        <w:t>http://www.cgedd.developpement-durable.gouv.fr/prix-immobilier-evolution-a-long-terme-a1048.html</w:t>
      </w:r>
      <w:r w:rsidRPr="00EA3E36">
        <w:rPr>
          <w:rFonts w:cs="Arial"/>
        </w:rPr>
        <w:t>.</w:t>
      </w:r>
      <w:r w:rsidR="00B93638" w:rsidRPr="00EA3E36">
        <w:rPr>
          <w:rFonts w:cs="Arial"/>
        </w:rPr>
        <w:t xml:space="preserve"> </w:t>
      </w:r>
      <w:r w:rsidR="00D66D55">
        <w:rPr>
          <w:rFonts w:cs="Arial"/>
        </w:rPr>
        <w:t xml:space="preserve"> </w:t>
      </w:r>
    </w:p>
    <w:p w14:paraId="10B61544" w14:textId="77777777" w:rsidR="00A552A2" w:rsidRDefault="00A552A2" w:rsidP="006145AE">
      <w:pPr>
        <w:spacing w:line="200" w:lineRule="exact"/>
        <w:rPr>
          <w:rFonts w:cs="Arial"/>
        </w:rPr>
      </w:pPr>
    </w:p>
    <w:p w14:paraId="3DE16FE0" w14:textId="0C8DB9CD" w:rsidR="00DD4748" w:rsidRDefault="00B81406" w:rsidP="00DD4748">
      <w:pPr>
        <w:spacing w:line="200" w:lineRule="exact"/>
        <w:rPr>
          <w:rFonts w:cs="Arial"/>
        </w:rPr>
      </w:pPr>
      <w:r w:rsidRPr="00B81406">
        <w:rPr>
          <w:rFonts w:cs="Arial"/>
        </w:rPr>
        <w:t>J.Friggit - CGEDD.</w:t>
      </w:r>
      <w:r w:rsidR="00656120" w:rsidRPr="00B81406">
        <w:rPr>
          <w:rFonts w:cs="Arial"/>
        </w:rPr>
        <w:t xml:space="preserve"> </w:t>
      </w:r>
      <w:r w:rsidR="00F11313" w:rsidRPr="00B81406">
        <w:rPr>
          <w:rFonts w:cs="Arial"/>
        </w:rPr>
        <w:t xml:space="preserve"> </w:t>
      </w:r>
      <w:r w:rsidR="002345A7" w:rsidRPr="00B81406">
        <w:rPr>
          <w:rFonts w:cs="Arial"/>
        </w:rPr>
        <w:t>Les analyses présentées dans ce document sont celles de leur auteur et, en particulier, n’engagent pas l</w:t>
      </w:r>
      <w:r w:rsidR="002A59D3" w:rsidRPr="00B81406">
        <w:rPr>
          <w:rFonts w:cs="Arial"/>
        </w:rPr>
        <w:t>e CGEDD</w:t>
      </w:r>
      <w:r w:rsidR="002345A7" w:rsidRPr="00B81406">
        <w:rPr>
          <w:rFonts w:cs="Arial"/>
        </w:rPr>
        <w:t>.</w:t>
      </w:r>
      <w:r w:rsidR="00DD4748">
        <w:rPr>
          <w:rFonts w:cs="Arial"/>
        </w:rPr>
        <w:br w:type="page"/>
      </w:r>
    </w:p>
    <w:p w14:paraId="7655789B" w14:textId="0E565041" w:rsidR="00827D23" w:rsidRPr="0097649B" w:rsidRDefault="00827D23" w:rsidP="00827D23">
      <w:pPr>
        <w:widowControl w:val="0"/>
        <w:jc w:val="left"/>
        <w:rPr>
          <w:rFonts w:cs="Arial"/>
          <w:bCs/>
          <w:color w:val="000000" w:themeColor="text1"/>
          <w:sz w:val="18"/>
        </w:rPr>
      </w:pPr>
      <w:bookmarkStart w:id="29" w:name="Coronavirus"/>
      <w:bookmarkStart w:id="30" w:name="_Hlk39753261"/>
      <w:r w:rsidRPr="00EF5FBB">
        <w:rPr>
          <w:rFonts w:cs="Arial"/>
          <w:b/>
          <w:bCs/>
          <w:color w:val="FF0000"/>
        </w:rPr>
        <w:lastRenderedPageBreak/>
        <w:t xml:space="preserve">10. Spécial </w:t>
      </w:r>
      <w:r w:rsidR="00887C22">
        <w:rPr>
          <w:rFonts w:cs="Arial"/>
          <w:b/>
          <w:bCs/>
          <w:color w:val="FF0000"/>
        </w:rPr>
        <w:t>c</w:t>
      </w:r>
      <w:r w:rsidRPr="00EF5FBB">
        <w:rPr>
          <w:rFonts w:cs="Arial"/>
          <w:b/>
          <w:bCs/>
          <w:color w:val="FF0000"/>
        </w:rPr>
        <w:t>oronavirus</w:t>
      </w:r>
      <w:bookmarkEnd w:id="29"/>
      <w:r w:rsidRPr="00EF5FBB">
        <w:rPr>
          <w:rFonts w:cs="Arial"/>
          <w:b/>
          <w:bCs/>
          <w:color w:val="FF0000"/>
          <w:sz w:val="16"/>
          <w:szCs w:val="16"/>
        </w:rPr>
        <w:t xml:space="preserve"> </w:t>
      </w:r>
      <w:r w:rsidR="00D8338C">
        <w:rPr>
          <w:rFonts w:cs="Arial"/>
          <w:bCs/>
          <w:sz w:val="18"/>
        </w:rPr>
        <w:t>Les graphiques ci-dessus visent à replacer les évolutions récentes dans une perspective à long terme.  Par exception, nous présentons ici des graphiques qui visent</w:t>
      </w:r>
      <w:r w:rsidRPr="0097649B">
        <w:rPr>
          <w:rFonts w:cs="Arial"/>
          <w:b/>
          <w:bCs/>
          <w:color w:val="000000" w:themeColor="text1"/>
          <w:sz w:val="16"/>
          <w:szCs w:val="16"/>
        </w:rPr>
        <w:t xml:space="preserve"> </w:t>
      </w:r>
      <w:r w:rsidRPr="0097649B">
        <w:rPr>
          <w:rFonts w:cs="Arial"/>
          <w:bCs/>
          <w:color w:val="000000" w:themeColor="text1"/>
          <w:sz w:val="18"/>
        </w:rPr>
        <w:t>Page 9</w:t>
      </w:r>
    </w:p>
    <w:p w14:paraId="4800D3B6" w14:textId="7C6197A1" w:rsidR="00827D23" w:rsidRDefault="0097649B" w:rsidP="00827D23">
      <w:pPr>
        <w:widowControl w:val="0"/>
        <w:jc w:val="left"/>
        <w:rPr>
          <w:rFonts w:cs="Arial"/>
          <w:b/>
          <w:bCs/>
        </w:rPr>
      </w:pPr>
      <w:r>
        <w:rPr>
          <w:rFonts w:cs="Arial"/>
          <w:bCs/>
          <w:sz w:val="18"/>
        </w:rPr>
        <w:t xml:space="preserve">plutôt </w:t>
      </w:r>
      <w:r w:rsidR="00827D23">
        <w:rPr>
          <w:rFonts w:cs="Arial"/>
          <w:bCs/>
          <w:sz w:val="18"/>
        </w:rPr>
        <w:t>à retracer</w:t>
      </w:r>
      <w:r>
        <w:rPr>
          <w:rFonts w:cs="Arial"/>
          <w:bCs/>
          <w:sz w:val="18"/>
        </w:rPr>
        <w:t xml:space="preserve"> sur le court terme</w:t>
      </w:r>
      <w:r w:rsidR="00827D23">
        <w:rPr>
          <w:rFonts w:cs="Arial"/>
          <w:bCs/>
          <w:sz w:val="18"/>
        </w:rPr>
        <w:t xml:space="preserve"> les effets de la crise du coronavirus. Ils évolueront au gré de la disponibilité et de la pertinence des données.</w:t>
      </w:r>
    </w:p>
    <w:p w14:paraId="7D9B103C" w14:textId="6F316C20" w:rsidR="00214E04" w:rsidRDefault="002C130A" w:rsidP="00583F63">
      <w:pPr>
        <w:jc w:val="left"/>
        <w:rPr>
          <w:rFonts w:cs="Arial"/>
          <w:b/>
          <w:bCs/>
        </w:rPr>
      </w:pPr>
      <w:r>
        <w:rPr>
          <w:rFonts w:cs="Arial"/>
          <w:b/>
          <w:bCs/>
        </w:rPr>
        <w:t>10.</w:t>
      </w:r>
      <w:r w:rsidR="00677711">
        <w:rPr>
          <w:rFonts w:cs="Arial"/>
          <w:b/>
          <w:bCs/>
        </w:rPr>
        <w:t>1</w:t>
      </w:r>
      <w:r>
        <w:rPr>
          <w:rFonts w:cs="Arial"/>
          <w:b/>
          <w:bCs/>
        </w:rPr>
        <w:t xml:space="preserve">. </w:t>
      </w:r>
      <w:r w:rsidR="002408AA">
        <w:rPr>
          <w:rFonts w:cs="Arial"/>
          <w:b/>
          <w:bCs/>
        </w:rPr>
        <w:t>Indicateurs divers, base moyenne T</w:t>
      </w:r>
      <w:r w:rsidR="005E2740">
        <w:rPr>
          <w:rFonts w:cs="Arial"/>
          <w:b/>
          <w:bCs/>
        </w:rPr>
        <w:t>4</w:t>
      </w:r>
      <w:r w:rsidR="002408AA">
        <w:rPr>
          <w:rFonts w:cs="Arial"/>
          <w:b/>
          <w:bCs/>
        </w:rPr>
        <w:t xml:space="preserve"> 2019=1</w:t>
      </w:r>
      <w:r>
        <w:rPr>
          <w:rFonts w:cs="Arial"/>
          <w:b/>
          <w:bCs/>
        </w:rPr>
        <w:t xml:space="preserve"> </w:t>
      </w:r>
    </w:p>
    <w:p w14:paraId="7251422B" w14:textId="2AFF9C04" w:rsidR="002C130A" w:rsidRDefault="00F76827" w:rsidP="00583F63">
      <w:pPr>
        <w:jc w:val="left"/>
        <w:rPr>
          <w:rFonts w:cs="Arial"/>
          <w:b/>
          <w:bCs/>
        </w:rPr>
      </w:pPr>
      <w:r w:rsidRPr="00F76827">
        <w:rPr>
          <w:rFonts w:cs="Arial"/>
          <w:b/>
          <w:bCs/>
          <w:noProof/>
        </w:rPr>
        <mc:AlternateContent>
          <mc:Choice Requires="wps">
            <w:drawing>
              <wp:anchor distT="45720" distB="45720" distL="114300" distR="114300" simplePos="0" relativeHeight="251667456" behindDoc="0" locked="0" layoutInCell="1" allowOverlap="1" wp14:anchorId="01A6E07C" wp14:editId="40874418">
                <wp:simplePos x="0" y="0"/>
                <wp:positionH relativeFrom="column">
                  <wp:posOffset>6182360</wp:posOffset>
                </wp:positionH>
                <wp:positionV relativeFrom="paragraph">
                  <wp:posOffset>1310200</wp:posOffset>
                </wp:positionV>
                <wp:extent cx="2090057" cy="1404620"/>
                <wp:effectExtent l="0" t="0" r="571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404620"/>
                        </a:xfrm>
                        <a:prstGeom prst="rect">
                          <a:avLst/>
                        </a:prstGeom>
                        <a:noFill/>
                        <a:ln w="9525">
                          <a:noFill/>
                          <a:miter lim="800000"/>
                          <a:headEnd/>
                          <a:tailEnd/>
                        </a:ln>
                      </wps:spPr>
                      <wps:txbx>
                        <w:txbxContent>
                          <w:p w14:paraId="32C2DA9E" w14:textId="3AC78081" w:rsidR="00F76827" w:rsidRDefault="00F76827">
                            <w:r>
                              <w:rPr>
                                <w:rFonts w:cs="Arial"/>
                                <w:b/>
                                <w:bCs/>
                              </w:rPr>
                              <w:t>10.2. Recherches dans Google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6E07C" id="Zone de texte 2" o:spid="_x0000_s1033" type="#_x0000_t202" style="position:absolute;margin-left:486.8pt;margin-top:103.15pt;width:164.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" filled="f" stroked="f">
                <v:textbox style="mso-fit-shape-to-text:t" inset="0,0,0,0">
                  <w:txbxContent>
                    <w:p w14:paraId="32C2DA9E" w14:textId="3AC78081" w:rsidR="00F76827" w:rsidRDefault="00F76827">
                      <w:r>
                        <w:rPr>
                          <w:rFonts w:cs="Arial"/>
                          <w:b/>
                          <w:bCs/>
                        </w:rPr>
                        <w:t>10.2. Recherches dans Google</w:t>
                      </w:r>
                    </w:p>
                  </w:txbxContent>
                </v:textbox>
              </v:shape>
            </w:pict>
          </mc:Fallback>
        </mc:AlternateContent>
      </w:r>
      <w:r w:rsidR="00835EDD">
        <w:rPr>
          <w:rFonts w:cs="Arial"/>
          <w:b/>
          <w:bCs/>
        </w:rPr>
        <w:pict w14:anchorId="76C62829">
          <v:shape id="_x0000_i1051" type="#_x0000_t75" style="width:481.5pt;height:315pt" o:bordertopcolor="this" o:borderleftcolor="this" o:borderbottomcolor="this" o:borderrightcolor="this">
            <v:imagedata r:id="rId95" o:title=""/>
            <w10:bordertop type="single" width="4"/>
            <w10:borderleft type="single" width="4"/>
            <w10:borderbottom type="single" width="4"/>
            <w10:borderright type="single" width="4"/>
          </v:shape>
        </w:pict>
      </w:r>
      <w:r>
        <w:rPr>
          <w:rFonts w:cs="Arial"/>
          <w:b/>
          <w:bCs/>
        </w:rPr>
        <w:t xml:space="preserve"> </w:t>
      </w:r>
      <w:r w:rsidR="00835EDD">
        <w:rPr>
          <w:rFonts w:cs="Arial"/>
          <w:b/>
          <w:bCs/>
        </w:rPr>
        <w:pict w14:anchorId="1DF4B041">
          <v:shape id="_x0000_i1052" type="#_x0000_t75" style="width:309.5pt;height:199.5pt" o:bordertopcolor="this" o:borderleftcolor="this" o:borderbottomcolor="this" o:borderrightcolor="this">
            <v:imagedata r:id="rId96" o:title=""/>
            <w10:bordertop type="single" width="4"/>
            <w10:borderleft type="single" width="4"/>
            <w10:borderbottom type="single" width="4"/>
            <w10:borderright type="single" width="4"/>
          </v:shape>
        </w:pict>
      </w:r>
    </w:p>
    <w:p w14:paraId="79ECFA77" w14:textId="4285470B" w:rsidR="002C130A" w:rsidRDefault="007F36F0" w:rsidP="00583F63">
      <w:pPr>
        <w:jc w:val="left"/>
        <w:rPr>
          <w:rFonts w:cs="Arial"/>
          <w:b/>
          <w:bCs/>
        </w:rPr>
      </w:pPr>
      <w:bookmarkStart w:id="31" w:name="_Hlk45111320"/>
      <w:r w:rsidRPr="002C130A">
        <w:rPr>
          <w:rFonts w:cs="Arial"/>
          <w:sz w:val="16"/>
          <w:szCs w:val="16"/>
        </w:rPr>
        <w:t xml:space="preserve">Source : CGEDD d’après </w:t>
      </w:r>
      <w:r w:rsidR="00526BE1" w:rsidRPr="002C130A">
        <w:rPr>
          <w:rFonts w:cs="Arial"/>
          <w:sz w:val="16"/>
          <w:szCs w:val="16"/>
        </w:rPr>
        <w:t>Google Trends</w:t>
      </w:r>
      <w:r w:rsidR="00526BE1">
        <w:rPr>
          <w:rFonts w:cs="Arial"/>
          <w:sz w:val="16"/>
          <w:szCs w:val="16"/>
        </w:rPr>
        <w:t xml:space="preserve">, Banque de France, DGFiP(MEDOC), </w:t>
      </w:r>
      <w:r>
        <w:rPr>
          <w:rFonts w:cs="Arial"/>
          <w:sz w:val="16"/>
          <w:szCs w:val="16"/>
        </w:rPr>
        <w:t>SDES (Sit@del),</w:t>
      </w:r>
      <w:r w:rsidR="00526BE1" w:rsidRPr="00526BE1">
        <w:rPr>
          <w:rFonts w:cs="Arial"/>
          <w:sz w:val="16"/>
          <w:szCs w:val="16"/>
        </w:rPr>
        <w:t xml:space="preserve"> </w:t>
      </w:r>
      <w:r w:rsidR="00526BE1">
        <w:rPr>
          <w:rFonts w:cs="Arial"/>
          <w:sz w:val="16"/>
          <w:szCs w:val="16"/>
        </w:rPr>
        <w:t>Insee (IPI)</w:t>
      </w:r>
      <w:bookmarkEnd w:id="31"/>
      <w:r w:rsidR="00526BE1">
        <w:rPr>
          <w:rFonts w:cs="Arial"/>
          <w:sz w:val="16"/>
          <w:szCs w:val="16"/>
        </w:rPr>
        <w:t xml:space="preserve"> </w:t>
      </w:r>
      <w:r>
        <w:rPr>
          <w:rFonts w:cs="Arial"/>
          <w:sz w:val="16"/>
          <w:szCs w:val="16"/>
        </w:rPr>
        <w:t xml:space="preserve">                                             </w:t>
      </w:r>
      <w:r w:rsidR="002C130A" w:rsidRPr="002C130A">
        <w:rPr>
          <w:rFonts w:cs="Arial"/>
          <w:sz w:val="16"/>
          <w:szCs w:val="16"/>
        </w:rPr>
        <w:t>Source : CGEDD d’après Google Trends</w:t>
      </w:r>
    </w:p>
    <w:p w14:paraId="4BB321E6" w14:textId="5DFBBEC1" w:rsidR="002C130A" w:rsidRDefault="00214E04" w:rsidP="00214E04">
      <w:pPr>
        <w:rPr>
          <w:rFonts w:cs="Arial"/>
          <w:b/>
          <w:bCs/>
        </w:rPr>
      </w:pPr>
      <w:r>
        <w:rPr>
          <w:rFonts w:cs="Arial"/>
          <w:b/>
          <w:bCs/>
        </w:rPr>
        <w:t xml:space="preserve">10.3. Variation de la dette immobilière des ménages       </w:t>
      </w:r>
      <w:r w:rsidR="002C130A">
        <w:rPr>
          <w:rFonts w:cs="Arial"/>
          <w:b/>
          <w:bCs/>
        </w:rPr>
        <w:t>10.</w:t>
      </w:r>
      <w:r w:rsidR="00F76827">
        <w:rPr>
          <w:rFonts w:cs="Arial"/>
          <w:b/>
          <w:bCs/>
        </w:rPr>
        <w:t>4</w:t>
      </w:r>
      <w:r w:rsidR="002C130A">
        <w:rPr>
          <w:rFonts w:cs="Arial"/>
          <w:b/>
          <w:bCs/>
        </w:rPr>
        <w:t xml:space="preserve">. Activité des services de publicité foncière </w:t>
      </w:r>
      <w:r>
        <w:rPr>
          <w:rFonts w:cs="Arial"/>
          <w:b/>
          <w:bCs/>
        </w:rPr>
        <w:t xml:space="preserve">             </w:t>
      </w:r>
      <w:r w:rsidR="002C130A">
        <w:rPr>
          <w:rFonts w:cs="Arial"/>
          <w:b/>
          <w:bCs/>
        </w:rPr>
        <w:t xml:space="preserve">  </w:t>
      </w:r>
      <w:r>
        <w:rPr>
          <w:rFonts w:cs="Arial"/>
          <w:b/>
          <w:bCs/>
        </w:rPr>
        <w:t>10.</w:t>
      </w:r>
      <w:r w:rsidR="00F76827">
        <w:rPr>
          <w:rFonts w:cs="Arial"/>
          <w:b/>
          <w:bCs/>
        </w:rPr>
        <w:t>5</w:t>
      </w:r>
      <w:r>
        <w:rPr>
          <w:rFonts w:cs="Arial"/>
          <w:b/>
          <w:bCs/>
        </w:rPr>
        <w:t>. Opinion des chefs d’entreprises du bâtiment</w:t>
      </w:r>
    </w:p>
    <w:p w14:paraId="153EC108" w14:textId="2C5C4441" w:rsidR="002C130A" w:rsidRPr="0063726A" w:rsidRDefault="00835EDD" w:rsidP="00214E04">
      <w:pPr>
        <w:jc w:val="left"/>
        <w:rPr>
          <w:rFonts w:cs="Arial"/>
        </w:rPr>
      </w:pPr>
      <w:r>
        <w:rPr>
          <w:rFonts w:cs="Arial"/>
          <w:b/>
          <w:bCs/>
        </w:rPr>
        <w:pict w14:anchorId="7B740121">
          <v:shape id="_x0000_i1053" type="#_x0000_t75" style="width:265pt;height:171pt" o:bordertopcolor="this" o:borderleftcolor="this" o:borderbottomcolor="this" o:borderrightcolor="this">
            <v:imagedata r:id="rId97" o:title=""/>
            <w10:bordertop type="single" width="4"/>
            <w10:borderleft type="single" width="4"/>
            <w10:borderbottom type="single" width="4"/>
            <w10:borderright type="single" width="4"/>
          </v:shape>
        </w:pict>
      </w:r>
      <w:r w:rsidR="00214E04" w:rsidRPr="00F76827">
        <w:rPr>
          <w:rFonts w:cs="Arial"/>
          <w:sz w:val="10"/>
          <w:szCs w:val="10"/>
        </w:rPr>
        <w:t xml:space="preserve"> </w:t>
      </w:r>
      <w:r>
        <w:rPr>
          <w:rFonts w:cs="Arial"/>
          <w:b/>
          <w:bCs/>
        </w:rPr>
        <w:pict w14:anchorId="6C2ED452">
          <v:shape id="_x0000_i1054" type="#_x0000_t75" style="width:265pt;height:171pt" o:bordertopcolor="this" o:borderleftcolor="this" o:borderbottomcolor="this" o:borderrightcolor="this">
            <v:imagedata r:id="rId98" o:title=""/>
            <o:lock v:ext="edit" aspectratio="f"/>
            <w10:bordertop type="single" width="4"/>
            <w10:borderleft type="single" width="4"/>
            <w10:borderbottom type="single" width="4"/>
            <w10:borderright type="single" width="4"/>
          </v:shape>
        </w:pict>
      </w:r>
      <w:r w:rsidR="00214E04" w:rsidRPr="00F76827">
        <w:rPr>
          <w:rFonts w:cs="Arial"/>
        </w:rPr>
        <w:t xml:space="preserve"> </w:t>
      </w:r>
      <w:r>
        <w:rPr>
          <w:rFonts w:cs="Arial"/>
        </w:rPr>
        <w:pict w14:anchorId="75FA38C2">
          <v:shape id="_x0000_i1055" type="#_x0000_t75" style="width:265pt;height:171pt" o:bordertopcolor="this" o:borderleftcolor="this" o:borderbottomcolor="this" o:borderrightcolor="this">
            <v:imagedata r:id="rId99" o:title=""/>
            <o:lock v:ext="edit" aspectratio="f"/>
            <w10:bordertop type="single" width="4"/>
            <w10:borderleft type="single" width="4"/>
            <w10:borderbottom type="single" width="4"/>
            <w10:borderright type="single" width="4"/>
          </v:shape>
        </w:pict>
      </w:r>
    </w:p>
    <w:bookmarkEnd w:id="30"/>
    <w:p w14:paraId="224A2AE7" w14:textId="13AD551C" w:rsidR="00214E04" w:rsidRDefault="00214E04" w:rsidP="00214E04">
      <w:pPr>
        <w:jc w:val="left"/>
        <w:rPr>
          <w:rStyle w:val="Lienhypertexte"/>
          <w:rFonts w:cs="Arial"/>
          <w:color w:val="0000FF"/>
          <w:sz w:val="6"/>
          <w:szCs w:val="6"/>
          <w:u w:val="single"/>
        </w:rPr>
      </w:pPr>
      <w:r>
        <w:rPr>
          <w:rFonts w:cs="Arial"/>
          <w:sz w:val="16"/>
          <w:szCs w:val="16"/>
        </w:rPr>
        <w:t>So</w:t>
      </w:r>
      <w:r w:rsidRPr="007409FB">
        <w:rPr>
          <w:rFonts w:cs="Arial"/>
          <w:sz w:val="16"/>
          <w:szCs w:val="16"/>
        </w:rPr>
        <w:t>urce :</w:t>
      </w:r>
      <w:r>
        <w:rPr>
          <w:rFonts w:cs="Arial"/>
          <w:sz w:val="16"/>
          <w:szCs w:val="16"/>
        </w:rPr>
        <w:t xml:space="preserve"> CGEDD d’après Banque de France                                                 Source : CGEDD d’après DGFiP                                                                      </w:t>
      </w:r>
      <w:r w:rsidRPr="007F7E1C">
        <w:rPr>
          <w:rFonts w:cs="Arial"/>
          <w:sz w:val="16"/>
          <w:szCs w:val="16"/>
        </w:rPr>
        <w:t>Source : Banque de France</w:t>
      </w:r>
      <w:r>
        <w:rPr>
          <w:rFonts w:cs="Arial"/>
          <w:sz w:val="10"/>
          <w:szCs w:val="10"/>
        </w:rPr>
        <w:t xml:space="preserve"> (</w:t>
      </w:r>
      <w:r w:rsidRPr="00D56D94">
        <w:rPr>
          <w:rStyle w:val="Lienhypertexte"/>
          <w:color w:val="0000FF"/>
          <w:sz w:val="6"/>
          <w:szCs w:val="6"/>
          <w:u w:val="single"/>
        </w:rPr>
        <w:t xml:space="preserve"> </w:t>
      </w:r>
      <w:hyperlink r:id="rId100" w:history="1">
        <w:r w:rsidRPr="00D56D94">
          <w:rPr>
            <w:rStyle w:val="Lienhypertexte"/>
            <w:rFonts w:cs="Arial"/>
            <w:color w:val="0000FF"/>
            <w:sz w:val="6"/>
            <w:szCs w:val="6"/>
            <w:u w:val="single"/>
          </w:rPr>
          <w:t>https://www.banque-france.fr/statistiques/parution-reference-name/conjoncture-industrie-services-et-batiment</w:t>
        </w:r>
      </w:hyperlink>
      <w:r>
        <w:rPr>
          <w:rStyle w:val="Lienhypertexte"/>
          <w:rFonts w:cs="Arial"/>
          <w:color w:val="0000FF"/>
          <w:sz w:val="6"/>
          <w:szCs w:val="6"/>
          <w:u w:val="single"/>
        </w:rPr>
        <w:t>) )</w:t>
      </w:r>
    </w:p>
    <w:p w14:paraId="2E12D0EA" w14:textId="62E33F08" w:rsidR="00361504" w:rsidRDefault="00361504">
      <w:pPr>
        <w:jc w:val="left"/>
        <w:rPr>
          <w:rStyle w:val="Lienhypertexte"/>
          <w:rFonts w:cs="Arial"/>
          <w:color w:val="0000FF"/>
          <w:sz w:val="6"/>
          <w:szCs w:val="6"/>
          <w:u w:val="single"/>
        </w:rPr>
      </w:pPr>
    </w:p>
    <w:sectPr w:rsidR="00361504" w:rsidSect="00A16A9D">
      <w:type w:val="continuous"/>
      <w:pgSz w:w="16838" w:h="11906" w:orient="landscape" w:code="9"/>
      <w:pgMar w:top="193" w:right="567" w:bottom="193" w:left="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FB281" w14:textId="77777777" w:rsidR="00713DBC" w:rsidRDefault="00713DBC">
      <w:r>
        <w:separator/>
      </w:r>
    </w:p>
  </w:endnote>
  <w:endnote w:type="continuationSeparator" w:id="0">
    <w:p w14:paraId="1E81ED14" w14:textId="77777777" w:rsidR="00713DBC" w:rsidRDefault="0071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0153A" w14:textId="77777777" w:rsidR="00713DBC" w:rsidRDefault="00713DBC">
      <w:r>
        <w:separator/>
      </w:r>
    </w:p>
  </w:footnote>
  <w:footnote w:type="continuationSeparator" w:id="0">
    <w:p w14:paraId="6491CC33" w14:textId="77777777" w:rsidR="00713DBC" w:rsidRDefault="00713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1AC8B4BA"/>
    <w:lvl w:ilvl="0">
      <w:numFmt w:val="decimal"/>
      <w:lvlText w:val="%1."/>
      <w:lvlJc w:val="left"/>
      <w:pPr>
        <w:tabs>
          <w:tab w:val="num" w:pos="708"/>
        </w:tabs>
        <w:ind w:left="708" w:hanging="708"/>
      </w:pPr>
      <w:rPr>
        <w:rFonts w:hint="default"/>
      </w:rPr>
    </w:lvl>
    <w:lvl w:ilvl="1">
      <w:start w:val="1"/>
      <w:numFmt w:val="decimal"/>
      <w:lvlText w:val="%1.%2."/>
      <w:lvlJc w:val="left"/>
      <w:pPr>
        <w:tabs>
          <w:tab w:val="num" w:pos="0"/>
        </w:tabs>
        <w:ind w:left="0" w:hanging="708"/>
      </w:pPr>
      <w:rPr>
        <w:rFonts w:hint="default"/>
      </w:rPr>
    </w:lvl>
    <w:lvl w:ilvl="2">
      <w:start w:val="1"/>
      <w:numFmt w:val="decimal"/>
      <w:pStyle w:val="Titre3"/>
      <w:lvlText w:val="%1.%2.%3."/>
      <w:lvlJc w:val="left"/>
      <w:pPr>
        <w:tabs>
          <w:tab w:val="num" w:pos="0"/>
        </w:tabs>
        <w:ind w:left="1134" w:hanging="708"/>
      </w:pPr>
      <w:rPr>
        <w:rFonts w:hint="default"/>
      </w:rPr>
    </w:lvl>
    <w:lvl w:ilvl="3">
      <w:start w:val="1"/>
      <w:numFmt w:val="decimal"/>
      <w:pStyle w:val="Titre4"/>
      <w:lvlText w:val="%1.%2.%3.%4."/>
      <w:lvlJc w:val="left"/>
      <w:pPr>
        <w:tabs>
          <w:tab w:val="num" w:pos="0"/>
        </w:tabs>
        <w:ind w:left="1134" w:hanging="708"/>
      </w:pPr>
      <w:rPr>
        <w:rFonts w:hint="default"/>
      </w:rPr>
    </w:lvl>
    <w:lvl w:ilvl="4">
      <w:start w:val="1"/>
      <w:numFmt w:val="decimal"/>
      <w:pStyle w:val="Titre5"/>
      <w:lvlText w:val="%1.%2.%3.%4.%5."/>
      <w:lvlJc w:val="left"/>
      <w:pPr>
        <w:tabs>
          <w:tab w:val="num" w:pos="0"/>
        </w:tabs>
        <w:ind w:left="1701" w:hanging="708"/>
      </w:pPr>
      <w:rPr>
        <w:rFonts w:hint="default"/>
      </w:rPr>
    </w:lvl>
    <w:lvl w:ilvl="5">
      <w:start w:val="1"/>
      <w:numFmt w:val="decimal"/>
      <w:lvlText w:val="%1.%2.%3.%4.%5.%6."/>
      <w:lvlJc w:val="left"/>
      <w:pPr>
        <w:tabs>
          <w:tab w:val="num" w:pos="0"/>
        </w:tabs>
        <w:ind w:left="2977"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7381D28"/>
    <w:multiLevelType w:val="hybridMultilevel"/>
    <w:tmpl w:val="B77A5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335566"/>
    <w:multiLevelType w:val="multilevel"/>
    <w:tmpl w:val="3CB0AAFC"/>
    <w:lvl w:ilvl="0">
      <w:start w:val="1"/>
      <w:numFmt w:val="decimal"/>
      <w:pStyle w:val="Titre1"/>
      <w:suff w:val="space"/>
      <w:lvlText w:val="[%1]"/>
      <w:lvlJc w:val="center"/>
      <w:pPr>
        <w:ind w:left="0" w:firstLine="170"/>
      </w:pPr>
      <w:rPr>
        <w:rFonts w:ascii="Arial" w:hAnsi="Arial" w:hint="default"/>
        <w:b w:val="0"/>
        <w:i w:val="0"/>
        <w:sz w:val="20"/>
        <w:szCs w:val="20"/>
      </w:rPr>
    </w:lvl>
    <w:lvl w:ilvl="1">
      <w:start w:val="1"/>
      <w:numFmt w:val="decimal"/>
      <w:pStyle w:val="Titre2"/>
      <w:lvlText w:val="%1.%2."/>
      <w:lvlJc w:val="left"/>
      <w:pPr>
        <w:tabs>
          <w:tab w:val="num" w:pos="1287"/>
        </w:tabs>
        <w:ind w:left="0" w:firstLine="567"/>
      </w:pPr>
      <w:rPr>
        <w:rFonts w:hint="default"/>
      </w:rPr>
    </w:lvl>
    <w:lvl w:ilvl="2">
      <w:start w:val="1"/>
      <w:numFmt w:val="decimal"/>
      <w:lvlText w:val="%1.%2.%3."/>
      <w:lvlJc w:val="left"/>
      <w:pPr>
        <w:tabs>
          <w:tab w:val="num" w:pos="1854"/>
        </w:tabs>
        <w:ind w:left="0" w:firstLine="1134"/>
      </w:pPr>
      <w:rPr>
        <w:rFonts w:hint="default"/>
      </w:rPr>
    </w:lvl>
    <w:lvl w:ilvl="3">
      <w:start w:val="1"/>
      <w:numFmt w:val="decimal"/>
      <w:lvlText w:val="%1.%2.%3.%4."/>
      <w:lvlJc w:val="left"/>
      <w:pPr>
        <w:tabs>
          <w:tab w:val="num" w:pos="2138"/>
        </w:tabs>
        <w:ind w:left="0" w:firstLine="1418"/>
      </w:pPr>
      <w:rPr>
        <w:rFonts w:hint="default"/>
      </w:rPr>
    </w:lvl>
    <w:lvl w:ilvl="4">
      <w:start w:val="1"/>
      <w:numFmt w:val="decimal"/>
      <w:lvlText w:val="%1.%2.%3.%4.%5."/>
      <w:lvlJc w:val="left"/>
      <w:pPr>
        <w:tabs>
          <w:tab w:val="num" w:pos="2781"/>
        </w:tabs>
        <w:ind w:left="0" w:firstLine="1701"/>
      </w:pPr>
      <w:rPr>
        <w:rFonts w:hint="default"/>
      </w:rPr>
    </w:lvl>
    <w:lvl w:ilvl="5">
      <w:start w:val="1"/>
      <w:numFmt w:val="decimal"/>
      <w:lvlText w:val="%1.%2.%3.%4.%5.%6."/>
      <w:lvlJc w:val="left"/>
      <w:pPr>
        <w:tabs>
          <w:tab w:val="num" w:pos="4789"/>
        </w:tabs>
        <w:ind w:left="2552" w:hanging="283"/>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70C4588E"/>
    <w:multiLevelType w:val="singleLevel"/>
    <w:tmpl w:val="C972D8D4"/>
    <w:lvl w:ilvl="0">
      <w:numFmt w:val="bullet"/>
      <w:pStyle w:val="Tiret"/>
      <w:lvlText w:val="-"/>
      <w:lvlJc w:val="left"/>
      <w:pPr>
        <w:tabs>
          <w:tab w:val="num" w:pos="360"/>
        </w:tabs>
        <w:ind w:left="360" w:hanging="360"/>
      </w:pPr>
      <w:rPr>
        <w:rFonts w:ascii="Times New Roman" w:hAnsi="Times New Roman" w:hint="default"/>
      </w:rPr>
    </w:lvl>
  </w:abstractNum>
  <w:num w:numId="1">
    <w:abstractNumId w:val="0"/>
  </w:num>
  <w:num w:numId="2">
    <w:abstractNumId w:val="3"/>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2B"/>
    <w:rsid w:val="00001AC0"/>
    <w:rsid w:val="00001B04"/>
    <w:rsid w:val="000027AF"/>
    <w:rsid w:val="00002E70"/>
    <w:rsid w:val="000030C6"/>
    <w:rsid w:val="0000512B"/>
    <w:rsid w:val="0000554E"/>
    <w:rsid w:val="0000583A"/>
    <w:rsid w:val="00005F6C"/>
    <w:rsid w:val="00007F30"/>
    <w:rsid w:val="000104A6"/>
    <w:rsid w:val="000111EE"/>
    <w:rsid w:val="0001164B"/>
    <w:rsid w:val="00011ADC"/>
    <w:rsid w:val="00012154"/>
    <w:rsid w:val="00012277"/>
    <w:rsid w:val="00014CE9"/>
    <w:rsid w:val="00016610"/>
    <w:rsid w:val="00016CEA"/>
    <w:rsid w:val="00017306"/>
    <w:rsid w:val="00017AF9"/>
    <w:rsid w:val="00017C8B"/>
    <w:rsid w:val="00020889"/>
    <w:rsid w:val="00021916"/>
    <w:rsid w:val="00021CF3"/>
    <w:rsid w:val="00022085"/>
    <w:rsid w:val="0002359F"/>
    <w:rsid w:val="000237C1"/>
    <w:rsid w:val="00023EDA"/>
    <w:rsid w:val="00023F17"/>
    <w:rsid w:val="00024605"/>
    <w:rsid w:val="00024D4C"/>
    <w:rsid w:val="0002505F"/>
    <w:rsid w:val="00026490"/>
    <w:rsid w:val="00026B9B"/>
    <w:rsid w:val="00026E83"/>
    <w:rsid w:val="000272E9"/>
    <w:rsid w:val="0002759A"/>
    <w:rsid w:val="00030889"/>
    <w:rsid w:val="00031B83"/>
    <w:rsid w:val="0003228D"/>
    <w:rsid w:val="0003267C"/>
    <w:rsid w:val="00032B43"/>
    <w:rsid w:val="00033864"/>
    <w:rsid w:val="00034C26"/>
    <w:rsid w:val="00034FFF"/>
    <w:rsid w:val="00036CE0"/>
    <w:rsid w:val="00040848"/>
    <w:rsid w:val="000414F6"/>
    <w:rsid w:val="0004163D"/>
    <w:rsid w:val="00041DDC"/>
    <w:rsid w:val="0004230C"/>
    <w:rsid w:val="00042F9F"/>
    <w:rsid w:val="00044B69"/>
    <w:rsid w:val="00044E36"/>
    <w:rsid w:val="0004506B"/>
    <w:rsid w:val="00046728"/>
    <w:rsid w:val="0004690E"/>
    <w:rsid w:val="00046B30"/>
    <w:rsid w:val="00050D92"/>
    <w:rsid w:val="00051A00"/>
    <w:rsid w:val="000536B9"/>
    <w:rsid w:val="000540C1"/>
    <w:rsid w:val="00054A5E"/>
    <w:rsid w:val="00056040"/>
    <w:rsid w:val="000565F3"/>
    <w:rsid w:val="000603EA"/>
    <w:rsid w:val="00061EB9"/>
    <w:rsid w:val="00061F37"/>
    <w:rsid w:val="00062D3F"/>
    <w:rsid w:val="0006301B"/>
    <w:rsid w:val="00063286"/>
    <w:rsid w:val="00063731"/>
    <w:rsid w:val="00063959"/>
    <w:rsid w:val="00063D0D"/>
    <w:rsid w:val="0006401F"/>
    <w:rsid w:val="00064331"/>
    <w:rsid w:val="000653A6"/>
    <w:rsid w:val="00066D4E"/>
    <w:rsid w:val="000673A5"/>
    <w:rsid w:val="000675DB"/>
    <w:rsid w:val="000705AD"/>
    <w:rsid w:val="00071650"/>
    <w:rsid w:val="00072B2B"/>
    <w:rsid w:val="00072C24"/>
    <w:rsid w:val="00073D29"/>
    <w:rsid w:val="00074484"/>
    <w:rsid w:val="00074525"/>
    <w:rsid w:val="00074CCF"/>
    <w:rsid w:val="00075793"/>
    <w:rsid w:val="000757C2"/>
    <w:rsid w:val="00076DD0"/>
    <w:rsid w:val="000774FD"/>
    <w:rsid w:val="00077A63"/>
    <w:rsid w:val="0008033F"/>
    <w:rsid w:val="00082198"/>
    <w:rsid w:val="00082385"/>
    <w:rsid w:val="00082696"/>
    <w:rsid w:val="00082B02"/>
    <w:rsid w:val="00082C79"/>
    <w:rsid w:val="000830B9"/>
    <w:rsid w:val="0008349E"/>
    <w:rsid w:val="00083623"/>
    <w:rsid w:val="000856D8"/>
    <w:rsid w:val="00085BA9"/>
    <w:rsid w:val="000879C8"/>
    <w:rsid w:val="000879F6"/>
    <w:rsid w:val="00087BFF"/>
    <w:rsid w:val="0009055D"/>
    <w:rsid w:val="00091078"/>
    <w:rsid w:val="00091B63"/>
    <w:rsid w:val="00092341"/>
    <w:rsid w:val="000929F6"/>
    <w:rsid w:val="00092A01"/>
    <w:rsid w:val="000938C9"/>
    <w:rsid w:val="00094B38"/>
    <w:rsid w:val="00095D54"/>
    <w:rsid w:val="000970E5"/>
    <w:rsid w:val="00097122"/>
    <w:rsid w:val="00097239"/>
    <w:rsid w:val="00097DAC"/>
    <w:rsid w:val="000A0298"/>
    <w:rsid w:val="000A1294"/>
    <w:rsid w:val="000A1566"/>
    <w:rsid w:val="000A222A"/>
    <w:rsid w:val="000A26F1"/>
    <w:rsid w:val="000A37A1"/>
    <w:rsid w:val="000A3887"/>
    <w:rsid w:val="000A390D"/>
    <w:rsid w:val="000A3D51"/>
    <w:rsid w:val="000A41D4"/>
    <w:rsid w:val="000A4240"/>
    <w:rsid w:val="000A46A2"/>
    <w:rsid w:val="000A585A"/>
    <w:rsid w:val="000A5AAA"/>
    <w:rsid w:val="000A5D82"/>
    <w:rsid w:val="000A604A"/>
    <w:rsid w:val="000A6C11"/>
    <w:rsid w:val="000A7454"/>
    <w:rsid w:val="000B0D52"/>
    <w:rsid w:val="000B100A"/>
    <w:rsid w:val="000B1010"/>
    <w:rsid w:val="000B110D"/>
    <w:rsid w:val="000B1FF6"/>
    <w:rsid w:val="000B2116"/>
    <w:rsid w:val="000B24B1"/>
    <w:rsid w:val="000B24F7"/>
    <w:rsid w:val="000B28AC"/>
    <w:rsid w:val="000B3A96"/>
    <w:rsid w:val="000B4BF3"/>
    <w:rsid w:val="000B5CE7"/>
    <w:rsid w:val="000B6EE9"/>
    <w:rsid w:val="000C0638"/>
    <w:rsid w:val="000C1F8F"/>
    <w:rsid w:val="000C31C4"/>
    <w:rsid w:val="000C4089"/>
    <w:rsid w:val="000C4404"/>
    <w:rsid w:val="000C45E1"/>
    <w:rsid w:val="000C5775"/>
    <w:rsid w:val="000C57A2"/>
    <w:rsid w:val="000D05DC"/>
    <w:rsid w:val="000D1518"/>
    <w:rsid w:val="000D154C"/>
    <w:rsid w:val="000D2BEC"/>
    <w:rsid w:val="000D2DFE"/>
    <w:rsid w:val="000D32C9"/>
    <w:rsid w:val="000D479E"/>
    <w:rsid w:val="000D51AC"/>
    <w:rsid w:val="000D58E7"/>
    <w:rsid w:val="000D6EB1"/>
    <w:rsid w:val="000D7FE8"/>
    <w:rsid w:val="000E0055"/>
    <w:rsid w:val="000E062C"/>
    <w:rsid w:val="000E0C4B"/>
    <w:rsid w:val="000E1864"/>
    <w:rsid w:val="000E2293"/>
    <w:rsid w:val="000E2730"/>
    <w:rsid w:val="000E2841"/>
    <w:rsid w:val="000E49B5"/>
    <w:rsid w:val="000E5569"/>
    <w:rsid w:val="000E5952"/>
    <w:rsid w:val="000E6862"/>
    <w:rsid w:val="000E73ED"/>
    <w:rsid w:val="000E7576"/>
    <w:rsid w:val="000E7F46"/>
    <w:rsid w:val="000F0448"/>
    <w:rsid w:val="000F0DB1"/>
    <w:rsid w:val="000F1382"/>
    <w:rsid w:val="000F2A63"/>
    <w:rsid w:val="000F32E8"/>
    <w:rsid w:val="000F3C3D"/>
    <w:rsid w:val="000F445D"/>
    <w:rsid w:val="000F57E3"/>
    <w:rsid w:val="000F6F90"/>
    <w:rsid w:val="000F7476"/>
    <w:rsid w:val="000F7850"/>
    <w:rsid w:val="00100C26"/>
    <w:rsid w:val="00100C4C"/>
    <w:rsid w:val="00101551"/>
    <w:rsid w:val="00101D86"/>
    <w:rsid w:val="00102149"/>
    <w:rsid w:val="00103865"/>
    <w:rsid w:val="00103B90"/>
    <w:rsid w:val="00104796"/>
    <w:rsid w:val="00104869"/>
    <w:rsid w:val="00104C8A"/>
    <w:rsid w:val="001059C9"/>
    <w:rsid w:val="00106100"/>
    <w:rsid w:val="00106671"/>
    <w:rsid w:val="001105B4"/>
    <w:rsid w:val="001112F7"/>
    <w:rsid w:val="00113D13"/>
    <w:rsid w:val="00113FC7"/>
    <w:rsid w:val="001149F2"/>
    <w:rsid w:val="00115217"/>
    <w:rsid w:val="00115F47"/>
    <w:rsid w:val="00116DA6"/>
    <w:rsid w:val="0012022A"/>
    <w:rsid w:val="0012106E"/>
    <w:rsid w:val="00121313"/>
    <w:rsid w:val="001224F6"/>
    <w:rsid w:val="00122982"/>
    <w:rsid w:val="00123195"/>
    <w:rsid w:val="0012445C"/>
    <w:rsid w:val="00126E44"/>
    <w:rsid w:val="00127D5C"/>
    <w:rsid w:val="00127E2C"/>
    <w:rsid w:val="0013005B"/>
    <w:rsid w:val="00130541"/>
    <w:rsid w:val="00130BFD"/>
    <w:rsid w:val="0013164C"/>
    <w:rsid w:val="00131779"/>
    <w:rsid w:val="00131791"/>
    <w:rsid w:val="001317BC"/>
    <w:rsid w:val="0013212F"/>
    <w:rsid w:val="00132C63"/>
    <w:rsid w:val="00132EE0"/>
    <w:rsid w:val="001338DD"/>
    <w:rsid w:val="001347F0"/>
    <w:rsid w:val="00134A96"/>
    <w:rsid w:val="00135054"/>
    <w:rsid w:val="00135781"/>
    <w:rsid w:val="001372DE"/>
    <w:rsid w:val="00140060"/>
    <w:rsid w:val="00140BAE"/>
    <w:rsid w:val="001412C2"/>
    <w:rsid w:val="00141699"/>
    <w:rsid w:val="00141788"/>
    <w:rsid w:val="0014184B"/>
    <w:rsid w:val="0014355C"/>
    <w:rsid w:val="001435CC"/>
    <w:rsid w:val="0014474C"/>
    <w:rsid w:val="00144CBE"/>
    <w:rsid w:val="00145B2C"/>
    <w:rsid w:val="0014784E"/>
    <w:rsid w:val="00150B0E"/>
    <w:rsid w:val="00150F3C"/>
    <w:rsid w:val="00151843"/>
    <w:rsid w:val="00151B6B"/>
    <w:rsid w:val="00152485"/>
    <w:rsid w:val="001533E6"/>
    <w:rsid w:val="001539FD"/>
    <w:rsid w:val="00154880"/>
    <w:rsid w:val="00154E3F"/>
    <w:rsid w:val="0015631D"/>
    <w:rsid w:val="0015652E"/>
    <w:rsid w:val="001575C4"/>
    <w:rsid w:val="0015774B"/>
    <w:rsid w:val="00157849"/>
    <w:rsid w:val="001600C6"/>
    <w:rsid w:val="00161841"/>
    <w:rsid w:val="0016266C"/>
    <w:rsid w:val="00162C0B"/>
    <w:rsid w:val="00163056"/>
    <w:rsid w:val="00163BB8"/>
    <w:rsid w:val="00164509"/>
    <w:rsid w:val="001646CD"/>
    <w:rsid w:val="00164A55"/>
    <w:rsid w:val="00164C6C"/>
    <w:rsid w:val="00165783"/>
    <w:rsid w:val="0016608D"/>
    <w:rsid w:val="0016613F"/>
    <w:rsid w:val="00167A77"/>
    <w:rsid w:val="00170F26"/>
    <w:rsid w:val="00171326"/>
    <w:rsid w:val="00171510"/>
    <w:rsid w:val="00171AD4"/>
    <w:rsid w:val="00172889"/>
    <w:rsid w:val="00173D3E"/>
    <w:rsid w:val="00174394"/>
    <w:rsid w:val="0017490B"/>
    <w:rsid w:val="00174D69"/>
    <w:rsid w:val="001753E4"/>
    <w:rsid w:val="00176614"/>
    <w:rsid w:val="00176EB2"/>
    <w:rsid w:val="00177019"/>
    <w:rsid w:val="00180006"/>
    <w:rsid w:val="00180AEE"/>
    <w:rsid w:val="00180B15"/>
    <w:rsid w:val="00183DF1"/>
    <w:rsid w:val="00183EAB"/>
    <w:rsid w:val="0018555E"/>
    <w:rsid w:val="00185915"/>
    <w:rsid w:val="00185FD3"/>
    <w:rsid w:val="0018623D"/>
    <w:rsid w:val="001869D3"/>
    <w:rsid w:val="001876F7"/>
    <w:rsid w:val="00193D3C"/>
    <w:rsid w:val="00194050"/>
    <w:rsid w:val="001949EC"/>
    <w:rsid w:val="00194BA0"/>
    <w:rsid w:val="00194CCD"/>
    <w:rsid w:val="001960A1"/>
    <w:rsid w:val="0019686B"/>
    <w:rsid w:val="00196C67"/>
    <w:rsid w:val="00196D9A"/>
    <w:rsid w:val="001970A7"/>
    <w:rsid w:val="001975D0"/>
    <w:rsid w:val="00197DAD"/>
    <w:rsid w:val="001A3077"/>
    <w:rsid w:val="001A335C"/>
    <w:rsid w:val="001A342A"/>
    <w:rsid w:val="001A3FD4"/>
    <w:rsid w:val="001A424C"/>
    <w:rsid w:val="001A538A"/>
    <w:rsid w:val="001A5833"/>
    <w:rsid w:val="001A67D7"/>
    <w:rsid w:val="001A6D9E"/>
    <w:rsid w:val="001A7CB7"/>
    <w:rsid w:val="001A7FAD"/>
    <w:rsid w:val="001B06AB"/>
    <w:rsid w:val="001B0A62"/>
    <w:rsid w:val="001B0B15"/>
    <w:rsid w:val="001B1243"/>
    <w:rsid w:val="001B1E64"/>
    <w:rsid w:val="001B2E5C"/>
    <w:rsid w:val="001B4BD8"/>
    <w:rsid w:val="001B5027"/>
    <w:rsid w:val="001B5537"/>
    <w:rsid w:val="001B5F9C"/>
    <w:rsid w:val="001B73EF"/>
    <w:rsid w:val="001B7A36"/>
    <w:rsid w:val="001B7D85"/>
    <w:rsid w:val="001C1915"/>
    <w:rsid w:val="001C2112"/>
    <w:rsid w:val="001C38CA"/>
    <w:rsid w:val="001C49CB"/>
    <w:rsid w:val="001C4A52"/>
    <w:rsid w:val="001C5742"/>
    <w:rsid w:val="001C5BF9"/>
    <w:rsid w:val="001C6522"/>
    <w:rsid w:val="001D31A1"/>
    <w:rsid w:val="001D4651"/>
    <w:rsid w:val="001D52CB"/>
    <w:rsid w:val="001D57CF"/>
    <w:rsid w:val="001D5E85"/>
    <w:rsid w:val="001D603A"/>
    <w:rsid w:val="001D62ED"/>
    <w:rsid w:val="001E0241"/>
    <w:rsid w:val="001E0887"/>
    <w:rsid w:val="001E17C6"/>
    <w:rsid w:val="001E1883"/>
    <w:rsid w:val="001E2210"/>
    <w:rsid w:val="001E3087"/>
    <w:rsid w:val="001E32D6"/>
    <w:rsid w:val="001E4742"/>
    <w:rsid w:val="001E4ED1"/>
    <w:rsid w:val="001E4F20"/>
    <w:rsid w:val="001E5DBE"/>
    <w:rsid w:val="001E603C"/>
    <w:rsid w:val="001E6650"/>
    <w:rsid w:val="001E681E"/>
    <w:rsid w:val="001E6C31"/>
    <w:rsid w:val="001E6F57"/>
    <w:rsid w:val="001E7148"/>
    <w:rsid w:val="001F1353"/>
    <w:rsid w:val="001F13DE"/>
    <w:rsid w:val="001F1FA9"/>
    <w:rsid w:val="001F27C0"/>
    <w:rsid w:val="001F281B"/>
    <w:rsid w:val="001F3889"/>
    <w:rsid w:val="001F3F60"/>
    <w:rsid w:val="001F406D"/>
    <w:rsid w:val="001F4085"/>
    <w:rsid w:val="001F4419"/>
    <w:rsid w:val="001F4EDB"/>
    <w:rsid w:val="001F59E5"/>
    <w:rsid w:val="001F5E7E"/>
    <w:rsid w:val="001F6483"/>
    <w:rsid w:val="001F64E6"/>
    <w:rsid w:val="00201FA7"/>
    <w:rsid w:val="00202018"/>
    <w:rsid w:val="0020274D"/>
    <w:rsid w:val="00203666"/>
    <w:rsid w:val="00205262"/>
    <w:rsid w:val="00205786"/>
    <w:rsid w:val="00206471"/>
    <w:rsid w:val="00206614"/>
    <w:rsid w:val="002102F1"/>
    <w:rsid w:val="0021132D"/>
    <w:rsid w:val="0021199B"/>
    <w:rsid w:val="00211F00"/>
    <w:rsid w:val="00212333"/>
    <w:rsid w:val="002126B9"/>
    <w:rsid w:val="0021337C"/>
    <w:rsid w:val="00213581"/>
    <w:rsid w:val="00213F86"/>
    <w:rsid w:val="00214E04"/>
    <w:rsid w:val="002158B2"/>
    <w:rsid w:val="0021601F"/>
    <w:rsid w:val="00216E53"/>
    <w:rsid w:val="00217150"/>
    <w:rsid w:val="00220C44"/>
    <w:rsid w:val="00223639"/>
    <w:rsid w:val="00223EC1"/>
    <w:rsid w:val="00225182"/>
    <w:rsid w:val="00225398"/>
    <w:rsid w:val="002254BE"/>
    <w:rsid w:val="002271AB"/>
    <w:rsid w:val="00230B38"/>
    <w:rsid w:val="0023107F"/>
    <w:rsid w:val="00231B2F"/>
    <w:rsid w:val="00232934"/>
    <w:rsid w:val="002345A7"/>
    <w:rsid w:val="00235738"/>
    <w:rsid w:val="00235B66"/>
    <w:rsid w:val="00237564"/>
    <w:rsid w:val="00240112"/>
    <w:rsid w:val="00240477"/>
    <w:rsid w:val="002408AA"/>
    <w:rsid w:val="00242744"/>
    <w:rsid w:val="0024280F"/>
    <w:rsid w:val="00242BDF"/>
    <w:rsid w:val="002432C6"/>
    <w:rsid w:val="00243642"/>
    <w:rsid w:val="00243DDA"/>
    <w:rsid w:val="00243E56"/>
    <w:rsid w:val="00244D77"/>
    <w:rsid w:val="0024512C"/>
    <w:rsid w:val="00245B1D"/>
    <w:rsid w:val="00246DA1"/>
    <w:rsid w:val="00247310"/>
    <w:rsid w:val="00247D7B"/>
    <w:rsid w:val="00250A3C"/>
    <w:rsid w:val="00250E1C"/>
    <w:rsid w:val="00250E92"/>
    <w:rsid w:val="00251D05"/>
    <w:rsid w:val="00252470"/>
    <w:rsid w:val="00252C25"/>
    <w:rsid w:val="00253B1F"/>
    <w:rsid w:val="0025432C"/>
    <w:rsid w:val="0025607A"/>
    <w:rsid w:val="00256571"/>
    <w:rsid w:val="00257102"/>
    <w:rsid w:val="002613C4"/>
    <w:rsid w:val="002616DE"/>
    <w:rsid w:val="002620B5"/>
    <w:rsid w:val="00262A33"/>
    <w:rsid w:val="00262BF3"/>
    <w:rsid w:val="002631DF"/>
    <w:rsid w:val="00263A39"/>
    <w:rsid w:val="00263D76"/>
    <w:rsid w:val="00263EC4"/>
    <w:rsid w:val="00264247"/>
    <w:rsid w:val="002646D0"/>
    <w:rsid w:val="00264837"/>
    <w:rsid w:val="00265152"/>
    <w:rsid w:val="002656B4"/>
    <w:rsid w:val="00265948"/>
    <w:rsid w:val="00265CC7"/>
    <w:rsid w:val="002666A1"/>
    <w:rsid w:val="00266C36"/>
    <w:rsid w:val="0026776E"/>
    <w:rsid w:val="00271733"/>
    <w:rsid w:val="00271DFE"/>
    <w:rsid w:val="002722B4"/>
    <w:rsid w:val="0027259B"/>
    <w:rsid w:val="00272A03"/>
    <w:rsid w:val="00273950"/>
    <w:rsid w:val="00273A25"/>
    <w:rsid w:val="00274032"/>
    <w:rsid w:val="00274283"/>
    <w:rsid w:val="00274AC9"/>
    <w:rsid w:val="00274BDA"/>
    <w:rsid w:val="002758E2"/>
    <w:rsid w:val="00275A86"/>
    <w:rsid w:val="0027697A"/>
    <w:rsid w:val="002771E4"/>
    <w:rsid w:val="002774A3"/>
    <w:rsid w:val="00277506"/>
    <w:rsid w:val="00280115"/>
    <w:rsid w:val="00280D13"/>
    <w:rsid w:val="00280E29"/>
    <w:rsid w:val="00280F93"/>
    <w:rsid w:val="0028122D"/>
    <w:rsid w:val="00282E00"/>
    <w:rsid w:val="00283861"/>
    <w:rsid w:val="002843C0"/>
    <w:rsid w:val="002848ED"/>
    <w:rsid w:val="00285370"/>
    <w:rsid w:val="002861B0"/>
    <w:rsid w:val="00286CC8"/>
    <w:rsid w:val="00286D46"/>
    <w:rsid w:val="002902BB"/>
    <w:rsid w:val="002910F9"/>
    <w:rsid w:val="00291F88"/>
    <w:rsid w:val="002933AD"/>
    <w:rsid w:val="002944FE"/>
    <w:rsid w:val="002948A3"/>
    <w:rsid w:val="0029545B"/>
    <w:rsid w:val="0029631C"/>
    <w:rsid w:val="00296374"/>
    <w:rsid w:val="00297C7B"/>
    <w:rsid w:val="002A1034"/>
    <w:rsid w:val="002A14D8"/>
    <w:rsid w:val="002A160F"/>
    <w:rsid w:val="002A1DBE"/>
    <w:rsid w:val="002A2269"/>
    <w:rsid w:val="002A270C"/>
    <w:rsid w:val="002A3A3E"/>
    <w:rsid w:val="002A3B47"/>
    <w:rsid w:val="002A3C7E"/>
    <w:rsid w:val="002A42F9"/>
    <w:rsid w:val="002A45F2"/>
    <w:rsid w:val="002A46B1"/>
    <w:rsid w:val="002A4C44"/>
    <w:rsid w:val="002A5830"/>
    <w:rsid w:val="002A59D3"/>
    <w:rsid w:val="002A6D8F"/>
    <w:rsid w:val="002A752F"/>
    <w:rsid w:val="002A75FD"/>
    <w:rsid w:val="002B0D63"/>
    <w:rsid w:val="002B2E6B"/>
    <w:rsid w:val="002B3172"/>
    <w:rsid w:val="002B32FE"/>
    <w:rsid w:val="002B3EE7"/>
    <w:rsid w:val="002B46EB"/>
    <w:rsid w:val="002B4C03"/>
    <w:rsid w:val="002B4E01"/>
    <w:rsid w:val="002B4E8E"/>
    <w:rsid w:val="002B5084"/>
    <w:rsid w:val="002B7393"/>
    <w:rsid w:val="002B76CB"/>
    <w:rsid w:val="002B790A"/>
    <w:rsid w:val="002B7B10"/>
    <w:rsid w:val="002C0367"/>
    <w:rsid w:val="002C0A49"/>
    <w:rsid w:val="002C0E04"/>
    <w:rsid w:val="002C130A"/>
    <w:rsid w:val="002C15B2"/>
    <w:rsid w:val="002C2953"/>
    <w:rsid w:val="002C3410"/>
    <w:rsid w:val="002C3768"/>
    <w:rsid w:val="002C3F0B"/>
    <w:rsid w:val="002C4D72"/>
    <w:rsid w:val="002C64FD"/>
    <w:rsid w:val="002D0667"/>
    <w:rsid w:val="002D06CC"/>
    <w:rsid w:val="002D2A82"/>
    <w:rsid w:val="002D2D63"/>
    <w:rsid w:val="002D325B"/>
    <w:rsid w:val="002D3823"/>
    <w:rsid w:val="002D393C"/>
    <w:rsid w:val="002D3BA4"/>
    <w:rsid w:val="002D4AA0"/>
    <w:rsid w:val="002D555D"/>
    <w:rsid w:val="002D5B7F"/>
    <w:rsid w:val="002D5C77"/>
    <w:rsid w:val="002D5D4E"/>
    <w:rsid w:val="002D5FAD"/>
    <w:rsid w:val="002D65FB"/>
    <w:rsid w:val="002D67E6"/>
    <w:rsid w:val="002D7BBC"/>
    <w:rsid w:val="002D7D57"/>
    <w:rsid w:val="002E0851"/>
    <w:rsid w:val="002E0D23"/>
    <w:rsid w:val="002E10C0"/>
    <w:rsid w:val="002E1609"/>
    <w:rsid w:val="002E1791"/>
    <w:rsid w:val="002E185A"/>
    <w:rsid w:val="002E2A67"/>
    <w:rsid w:val="002E3342"/>
    <w:rsid w:val="002E38CA"/>
    <w:rsid w:val="002E3B35"/>
    <w:rsid w:val="002E3C21"/>
    <w:rsid w:val="002E4463"/>
    <w:rsid w:val="002E4BF3"/>
    <w:rsid w:val="002E4E47"/>
    <w:rsid w:val="002E5675"/>
    <w:rsid w:val="002E731A"/>
    <w:rsid w:val="002E7AAE"/>
    <w:rsid w:val="002F0614"/>
    <w:rsid w:val="002F07B9"/>
    <w:rsid w:val="002F0ACF"/>
    <w:rsid w:val="002F1908"/>
    <w:rsid w:val="002F1C83"/>
    <w:rsid w:val="002F1CB4"/>
    <w:rsid w:val="002F1DC2"/>
    <w:rsid w:val="002F2BB1"/>
    <w:rsid w:val="002F368C"/>
    <w:rsid w:val="002F5C8D"/>
    <w:rsid w:val="002F7D3B"/>
    <w:rsid w:val="003002BA"/>
    <w:rsid w:val="0030284E"/>
    <w:rsid w:val="00302C8D"/>
    <w:rsid w:val="00302D3B"/>
    <w:rsid w:val="00302FD6"/>
    <w:rsid w:val="00303062"/>
    <w:rsid w:val="00304D0E"/>
    <w:rsid w:val="00306CC1"/>
    <w:rsid w:val="00310444"/>
    <w:rsid w:val="00310578"/>
    <w:rsid w:val="00311683"/>
    <w:rsid w:val="003139E7"/>
    <w:rsid w:val="00313A83"/>
    <w:rsid w:val="00313CC1"/>
    <w:rsid w:val="003142FC"/>
    <w:rsid w:val="00314672"/>
    <w:rsid w:val="00314F5E"/>
    <w:rsid w:val="00315012"/>
    <w:rsid w:val="00315158"/>
    <w:rsid w:val="003157CE"/>
    <w:rsid w:val="00317026"/>
    <w:rsid w:val="0032006B"/>
    <w:rsid w:val="003203AE"/>
    <w:rsid w:val="003210F7"/>
    <w:rsid w:val="0032183E"/>
    <w:rsid w:val="0032253A"/>
    <w:rsid w:val="00322E7F"/>
    <w:rsid w:val="00323B38"/>
    <w:rsid w:val="003246C4"/>
    <w:rsid w:val="003254A1"/>
    <w:rsid w:val="00325DC4"/>
    <w:rsid w:val="003270EF"/>
    <w:rsid w:val="003306DC"/>
    <w:rsid w:val="003308D0"/>
    <w:rsid w:val="00331CBB"/>
    <w:rsid w:val="00332DDD"/>
    <w:rsid w:val="00336310"/>
    <w:rsid w:val="0033686E"/>
    <w:rsid w:val="003368DE"/>
    <w:rsid w:val="00337A22"/>
    <w:rsid w:val="00337D23"/>
    <w:rsid w:val="00340157"/>
    <w:rsid w:val="003401E8"/>
    <w:rsid w:val="00340AD7"/>
    <w:rsid w:val="003428E6"/>
    <w:rsid w:val="00342BEE"/>
    <w:rsid w:val="00343137"/>
    <w:rsid w:val="00344486"/>
    <w:rsid w:val="00344A37"/>
    <w:rsid w:val="00344EF7"/>
    <w:rsid w:val="00345D54"/>
    <w:rsid w:val="0034623A"/>
    <w:rsid w:val="00346308"/>
    <w:rsid w:val="00346453"/>
    <w:rsid w:val="0034645F"/>
    <w:rsid w:val="0034691B"/>
    <w:rsid w:val="0034777E"/>
    <w:rsid w:val="00352B08"/>
    <w:rsid w:val="00352CF2"/>
    <w:rsid w:val="00353096"/>
    <w:rsid w:val="00353366"/>
    <w:rsid w:val="00353CC8"/>
    <w:rsid w:val="003540B1"/>
    <w:rsid w:val="003544AD"/>
    <w:rsid w:val="003549DA"/>
    <w:rsid w:val="00354D4E"/>
    <w:rsid w:val="0035674B"/>
    <w:rsid w:val="00357FBA"/>
    <w:rsid w:val="0036006A"/>
    <w:rsid w:val="00360E2A"/>
    <w:rsid w:val="00360FC6"/>
    <w:rsid w:val="003611A5"/>
    <w:rsid w:val="00361504"/>
    <w:rsid w:val="003615FC"/>
    <w:rsid w:val="00361846"/>
    <w:rsid w:val="00361CBA"/>
    <w:rsid w:val="00362730"/>
    <w:rsid w:val="00362860"/>
    <w:rsid w:val="00363004"/>
    <w:rsid w:val="003639ED"/>
    <w:rsid w:val="0036408D"/>
    <w:rsid w:val="003647AC"/>
    <w:rsid w:val="00365469"/>
    <w:rsid w:val="0036573C"/>
    <w:rsid w:val="00365D81"/>
    <w:rsid w:val="00365E58"/>
    <w:rsid w:val="00365F23"/>
    <w:rsid w:val="0036666D"/>
    <w:rsid w:val="003670E9"/>
    <w:rsid w:val="00367561"/>
    <w:rsid w:val="00367787"/>
    <w:rsid w:val="00367F42"/>
    <w:rsid w:val="003700FC"/>
    <w:rsid w:val="0037074A"/>
    <w:rsid w:val="0037099D"/>
    <w:rsid w:val="00370E7B"/>
    <w:rsid w:val="00371258"/>
    <w:rsid w:val="00371BE9"/>
    <w:rsid w:val="00373407"/>
    <w:rsid w:val="0037428A"/>
    <w:rsid w:val="0037465B"/>
    <w:rsid w:val="00374847"/>
    <w:rsid w:val="00374F3A"/>
    <w:rsid w:val="003756CC"/>
    <w:rsid w:val="00376777"/>
    <w:rsid w:val="0037754D"/>
    <w:rsid w:val="0038006A"/>
    <w:rsid w:val="0038043E"/>
    <w:rsid w:val="00381C30"/>
    <w:rsid w:val="00382CF2"/>
    <w:rsid w:val="00382D50"/>
    <w:rsid w:val="00382F47"/>
    <w:rsid w:val="00385AF3"/>
    <w:rsid w:val="003860D2"/>
    <w:rsid w:val="00386196"/>
    <w:rsid w:val="0038621F"/>
    <w:rsid w:val="00386231"/>
    <w:rsid w:val="003866D5"/>
    <w:rsid w:val="003867A2"/>
    <w:rsid w:val="00386878"/>
    <w:rsid w:val="00386DC7"/>
    <w:rsid w:val="00386F92"/>
    <w:rsid w:val="0038711F"/>
    <w:rsid w:val="00387706"/>
    <w:rsid w:val="00387CF4"/>
    <w:rsid w:val="003907D5"/>
    <w:rsid w:val="00390CF5"/>
    <w:rsid w:val="0039108F"/>
    <w:rsid w:val="003912C1"/>
    <w:rsid w:val="00391BF5"/>
    <w:rsid w:val="00392025"/>
    <w:rsid w:val="0039236D"/>
    <w:rsid w:val="00392B8F"/>
    <w:rsid w:val="003935A8"/>
    <w:rsid w:val="003949CB"/>
    <w:rsid w:val="00395315"/>
    <w:rsid w:val="00395A23"/>
    <w:rsid w:val="00395B2B"/>
    <w:rsid w:val="00396C80"/>
    <w:rsid w:val="00397351"/>
    <w:rsid w:val="0039762B"/>
    <w:rsid w:val="00397820"/>
    <w:rsid w:val="00397C4D"/>
    <w:rsid w:val="003A2008"/>
    <w:rsid w:val="003A2ED5"/>
    <w:rsid w:val="003A3170"/>
    <w:rsid w:val="003A3AB5"/>
    <w:rsid w:val="003A4018"/>
    <w:rsid w:val="003A49C9"/>
    <w:rsid w:val="003A51BD"/>
    <w:rsid w:val="003A6504"/>
    <w:rsid w:val="003A666B"/>
    <w:rsid w:val="003A69AF"/>
    <w:rsid w:val="003A78C2"/>
    <w:rsid w:val="003B08F7"/>
    <w:rsid w:val="003B1B15"/>
    <w:rsid w:val="003B2227"/>
    <w:rsid w:val="003B28CC"/>
    <w:rsid w:val="003B451B"/>
    <w:rsid w:val="003B4D87"/>
    <w:rsid w:val="003B4F38"/>
    <w:rsid w:val="003B5815"/>
    <w:rsid w:val="003B5B44"/>
    <w:rsid w:val="003B5B76"/>
    <w:rsid w:val="003B614D"/>
    <w:rsid w:val="003B65D7"/>
    <w:rsid w:val="003B76E8"/>
    <w:rsid w:val="003B7902"/>
    <w:rsid w:val="003C00C8"/>
    <w:rsid w:val="003C0D32"/>
    <w:rsid w:val="003C1EB7"/>
    <w:rsid w:val="003C363C"/>
    <w:rsid w:val="003C38B4"/>
    <w:rsid w:val="003C441D"/>
    <w:rsid w:val="003C4A86"/>
    <w:rsid w:val="003C4AA8"/>
    <w:rsid w:val="003C4D9C"/>
    <w:rsid w:val="003C5443"/>
    <w:rsid w:val="003C6467"/>
    <w:rsid w:val="003C7295"/>
    <w:rsid w:val="003C799A"/>
    <w:rsid w:val="003D03C5"/>
    <w:rsid w:val="003D04F0"/>
    <w:rsid w:val="003D25D4"/>
    <w:rsid w:val="003D29AF"/>
    <w:rsid w:val="003D32E4"/>
    <w:rsid w:val="003D40DB"/>
    <w:rsid w:val="003D5713"/>
    <w:rsid w:val="003D5AC1"/>
    <w:rsid w:val="003D5D98"/>
    <w:rsid w:val="003D6EA7"/>
    <w:rsid w:val="003D74F0"/>
    <w:rsid w:val="003E015A"/>
    <w:rsid w:val="003E034A"/>
    <w:rsid w:val="003E1222"/>
    <w:rsid w:val="003E15D7"/>
    <w:rsid w:val="003E186D"/>
    <w:rsid w:val="003E24F9"/>
    <w:rsid w:val="003E27B9"/>
    <w:rsid w:val="003E2A09"/>
    <w:rsid w:val="003E2E85"/>
    <w:rsid w:val="003E3ADE"/>
    <w:rsid w:val="003E4719"/>
    <w:rsid w:val="003E4A46"/>
    <w:rsid w:val="003E52CA"/>
    <w:rsid w:val="003E5656"/>
    <w:rsid w:val="003E6E03"/>
    <w:rsid w:val="003E70D8"/>
    <w:rsid w:val="003E7910"/>
    <w:rsid w:val="003E7CC1"/>
    <w:rsid w:val="003F00A2"/>
    <w:rsid w:val="003F10CC"/>
    <w:rsid w:val="003F1102"/>
    <w:rsid w:val="003F191B"/>
    <w:rsid w:val="003F1E32"/>
    <w:rsid w:val="003F2233"/>
    <w:rsid w:val="003F3BD9"/>
    <w:rsid w:val="003F3DA8"/>
    <w:rsid w:val="003F4093"/>
    <w:rsid w:val="003F4906"/>
    <w:rsid w:val="003F4AF9"/>
    <w:rsid w:val="003F4EEC"/>
    <w:rsid w:val="003F60CB"/>
    <w:rsid w:val="003F621D"/>
    <w:rsid w:val="003F746B"/>
    <w:rsid w:val="003F78CF"/>
    <w:rsid w:val="003F7D64"/>
    <w:rsid w:val="004006E7"/>
    <w:rsid w:val="00402891"/>
    <w:rsid w:val="00402AD5"/>
    <w:rsid w:val="00403931"/>
    <w:rsid w:val="00405B2F"/>
    <w:rsid w:val="00405C8C"/>
    <w:rsid w:val="00405FEA"/>
    <w:rsid w:val="00406450"/>
    <w:rsid w:val="00407958"/>
    <w:rsid w:val="00411612"/>
    <w:rsid w:val="004139C3"/>
    <w:rsid w:val="00414518"/>
    <w:rsid w:val="00414995"/>
    <w:rsid w:val="004151A1"/>
    <w:rsid w:val="004154ED"/>
    <w:rsid w:val="0041678E"/>
    <w:rsid w:val="004168D5"/>
    <w:rsid w:val="00416E0D"/>
    <w:rsid w:val="00420B70"/>
    <w:rsid w:val="00421A66"/>
    <w:rsid w:val="00423766"/>
    <w:rsid w:val="004238A8"/>
    <w:rsid w:val="00423A21"/>
    <w:rsid w:val="00423A73"/>
    <w:rsid w:val="0042567D"/>
    <w:rsid w:val="00426666"/>
    <w:rsid w:val="00426772"/>
    <w:rsid w:val="00427F96"/>
    <w:rsid w:val="004303FB"/>
    <w:rsid w:val="00430718"/>
    <w:rsid w:val="00430A5A"/>
    <w:rsid w:val="00431425"/>
    <w:rsid w:val="004318FD"/>
    <w:rsid w:val="004339C7"/>
    <w:rsid w:val="004340D8"/>
    <w:rsid w:val="00435950"/>
    <w:rsid w:val="00436E7C"/>
    <w:rsid w:val="00437483"/>
    <w:rsid w:val="0043749E"/>
    <w:rsid w:val="00437FB7"/>
    <w:rsid w:val="004400DA"/>
    <w:rsid w:val="00440AE2"/>
    <w:rsid w:val="004415D4"/>
    <w:rsid w:val="004419F0"/>
    <w:rsid w:val="00442F21"/>
    <w:rsid w:val="004435FA"/>
    <w:rsid w:val="00443D71"/>
    <w:rsid w:val="00444495"/>
    <w:rsid w:val="00444C64"/>
    <w:rsid w:val="00445022"/>
    <w:rsid w:val="0044510E"/>
    <w:rsid w:val="0044594F"/>
    <w:rsid w:val="00446947"/>
    <w:rsid w:val="004469EE"/>
    <w:rsid w:val="00446F48"/>
    <w:rsid w:val="00447240"/>
    <w:rsid w:val="0044748B"/>
    <w:rsid w:val="00447943"/>
    <w:rsid w:val="00447C4E"/>
    <w:rsid w:val="00450218"/>
    <w:rsid w:val="00450478"/>
    <w:rsid w:val="0045183D"/>
    <w:rsid w:val="00451BE9"/>
    <w:rsid w:val="004522CE"/>
    <w:rsid w:val="00452BEE"/>
    <w:rsid w:val="00454CE7"/>
    <w:rsid w:val="00454D23"/>
    <w:rsid w:val="0045715E"/>
    <w:rsid w:val="0045719B"/>
    <w:rsid w:val="00457549"/>
    <w:rsid w:val="0045781C"/>
    <w:rsid w:val="00460471"/>
    <w:rsid w:val="00461079"/>
    <w:rsid w:val="004617B7"/>
    <w:rsid w:val="0046193D"/>
    <w:rsid w:val="00462C71"/>
    <w:rsid w:val="004631DB"/>
    <w:rsid w:val="00463698"/>
    <w:rsid w:val="00463CC4"/>
    <w:rsid w:val="00463D57"/>
    <w:rsid w:val="00463D74"/>
    <w:rsid w:val="00464110"/>
    <w:rsid w:val="004644AD"/>
    <w:rsid w:val="004660ED"/>
    <w:rsid w:val="004666C1"/>
    <w:rsid w:val="0046715C"/>
    <w:rsid w:val="004672EB"/>
    <w:rsid w:val="00467D3C"/>
    <w:rsid w:val="00467DE3"/>
    <w:rsid w:val="00470623"/>
    <w:rsid w:val="00470D84"/>
    <w:rsid w:val="00471C06"/>
    <w:rsid w:val="004725C4"/>
    <w:rsid w:val="00472945"/>
    <w:rsid w:val="00472E0B"/>
    <w:rsid w:val="00473CA6"/>
    <w:rsid w:val="00474AA4"/>
    <w:rsid w:val="00474D59"/>
    <w:rsid w:val="00474F55"/>
    <w:rsid w:val="00474FE9"/>
    <w:rsid w:val="00475565"/>
    <w:rsid w:val="00476EA6"/>
    <w:rsid w:val="004771AA"/>
    <w:rsid w:val="00477E92"/>
    <w:rsid w:val="00477FC2"/>
    <w:rsid w:val="00480144"/>
    <w:rsid w:val="0048020C"/>
    <w:rsid w:val="00480F71"/>
    <w:rsid w:val="004826D4"/>
    <w:rsid w:val="00482AE3"/>
    <w:rsid w:val="004831EE"/>
    <w:rsid w:val="004834E3"/>
    <w:rsid w:val="00483A5F"/>
    <w:rsid w:val="00484364"/>
    <w:rsid w:val="0048478E"/>
    <w:rsid w:val="0048691F"/>
    <w:rsid w:val="00486AB9"/>
    <w:rsid w:val="00487368"/>
    <w:rsid w:val="00487631"/>
    <w:rsid w:val="0049088A"/>
    <w:rsid w:val="004908A9"/>
    <w:rsid w:val="00490C8B"/>
    <w:rsid w:val="00490FCF"/>
    <w:rsid w:val="004913B1"/>
    <w:rsid w:val="00491CDB"/>
    <w:rsid w:val="00492ABE"/>
    <w:rsid w:val="0049433F"/>
    <w:rsid w:val="0049494D"/>
    <w:rsid w:val="00494B2F"/>
    <w:rsid w:val="00497217"/>
    <w:rsid w:val="004978FD"/>
    <w:rsid w:val="004A2860"/>
    <w:rsid w:val="004A2D5C"/>
    <w:rsid w:val="004A2F69"/>
    <w:rsid w:val="004A3335"/>
    <w:rsid w:val="004A39F8"/>
    <w:rsid w:val="004A3A6C"/>
    <w:rsid w:val="004A4A14"/>
    <w:rsid w:val="004A4AEF"/>
    <w:rsid w:val="004A5477"/>
    <w:rsid w:val="004A5A2C"/>
    <w:rsid w:val="004A6304"/>
    <w:rsid w:val="004A65D0"/>
    <w:rsid w:val="004B18FF"/>
    <w:rsid w:val="004B20AF"/>
    <w:rsid w:val="004B24F9"/>
    <w:rsid w:val="004B2D8C"/>
    <w:rsid w:val="004B3CB8"/>
    <w:rsid w:val="004B4C8B"/>
    <w:rsid w:val="004B5F4F"/>
    <w:rsid w:val="004B64B2"/>
    <w:rsid w:val="004B7829"/>
    <w:rsid w:val="004B7867"/>
    <w:rsid w:val="004B7F8A"/>
    <w:rsid w:val="004C09A4"/>
    <w:rsid w:val="004C204A"/>
    <w:rsid w:val="004C2745"/>
    <w:rsid w:val="004C280D"/>
    <w:rsid w:val="004C3198"/>
    <w:rsid w:val="004C43E3"/>
    <w:rsid w:val="004C4E5C"/>
    <w:rsid w:val="004C6856"/>
    <w:rsid w:val="004C69A6"/>
    <w:rsid w:val="004C6FF4"/>
    <w:rsid w:val="004D0894"/>
    <w:rsid w:val="004D0FE6"/>
    <w:rsid w:val="004D1354"/>
    <w:rsid w:val="004D189D"/>
    <w:rsid w:val="004D1EB4"/>
    <w:rsid w:val="004D1EEF"/>
    <w:rsid w:val="004D21C8"/>
    <w:rsid w:val="004D284C"/>
    <w:rsid w:val="004D2E7B"/>
    <w:rsid w:val="004D3529"/>
    <w:rsid w:val="004D3702"/>
    <w:rsid w:val="004D704B"/>
    <w:rsid w:val="004D7AD7"/>
    <w:rsid w:val="004E063A"/>
    <w:rsid w:val="004E0664"/>
    <w:rsid w:val="004E338E"/>
    <w:rsid w:val="004E3E0B"/>
    <w:rsid w:val="004E428E"/>
    <w:rsid w:val="004E5027"/>
    <w:rsid w:val="004E5AE8"/>
    <w:rsid w:val="004E5BEE"/>
    <w:rsid w:val="004E6095"/>
    <w:rsid w:val="004E63F7"/>
    <w:rsid w:val="004E6E5F"/>
    <w:rsid w:val="004E7362"/>
    <w:rsid w:val="004E73B1"/>
    <w:rsid w:val="004F4D82"/>
    <w:rsid w:val="004F7245"/>
    <w:rsid w:val="005012BA"/>
    <w:rsid w:val="00501E52"/>
    <w:rsid w:val="005023CD"/>
    <w:rsid w:val="0050334F"/>
    <w:rsid w:val="0050363C"/>
    <w:rsid w:val="00504BF0"/>
    <w:rsid w:val="00505663"/>
    <w:rsid w:val="00505959"/>
    <w:rsid w:val="00505C66"/>
    <w:rsid w:val="00505EDE"/>
    <w:rsid w:val="00506E9C"/>
    <w:rsid w:val="005072B6"/>
    <w:rsid w:val="00507930"/>
    <w:rsid w:val="005104AA"/>
    <w:rsid w:val="00510F61"/>
    <w:rsid w:val="00511563"/>
    <w:rsid w:val="00511C7D"/>
    <w:rsid w:val="005121D3"/>
    <w:rsid w:val="0051285B"/>
    <w:rsid w:val="005144B5"/>
    <w:rsid w:val="00514B28"/>
    <w:rsid w:val="005150D6"/>
    <w:rsid w:val="005150EB"/>
    <w:rsid w:val="00516863"/>
    <w:rsid w:val="005174D5"/>
    <w:rsid w:val="005175C6"/>
    <w:rsid w:val="0051768B"/>
    <w:rsid w:val="00517CBF"/>
    <w:rsid w:val="00517DBA"/>
    <w:rsid w:val="005204CD"/>
    <w:rsid w:val="00520A7E"/>
    <w:rsid w:val="00520EC4"/>
    <w:rsid w:val="00521559"/>
    <w:rsid w:val="00521E06"/>
    <w:rsid w:val="00522A97"/>
    <w:rsid w:val="005232C6"/>
    <w:rsid w:val="005236F8"/>
    <w:rsid w:val="00523E58"/>
    <w:rsid w:val="00524497"/>
    <w:rsid w:val="0052573F"/>
    <w:rsid w:val="00526BE1"/>
    <w:rsid w:val="0052763D"/>
    <w:rsid w:val="00527A50"/>
    <w:rsid w:val="00530196"/>
    <w:rsid w:val="00530F19"/>
    <w:rsid w:val="00531A92"/>
    <w:rsid w:val="00533528"/>
    <w:rsid w:val="00533834"/>
    <w:rsid w:val="00534445"/>
    <w:rsid w:val="00534A54"/>
    <w:rsid w:val="00537040"/>
    <w:rsid w:val="005400F9"/>
    <w:rsid w:val="00542268"/>
    <w:rsid w:val="00542389"/>
    <w:rsid w:val="00542E88"/>
    <w:rsid w:val="00543626"/>
    <w:rsid w:val="005445CA"/>
    <w:rsid w:val="00544B46"/>
    <w:rsid w:val="00545655"/>
    <w:rsid w:val="00545C0B"/>
    <w:rsid w:val="005479ED"/>
    <w:rsid w:val="00547CF9"/>
    <w:rsid w:val="0055030C"/>
    <w:rsid w:val="00551AAA"/>
    <w:rsid w:val="00551C50"/>
    <w:rsid w:val="005521B8"/>
    <w:rsid w:val="0055221B"/>
    <w:rsid w:val="00552781"/>
    <w:rsid w:val="00552E3D"/>
    <w:rsid w:val="00553546"/>
    <w:rsid w:val="005538B5"/>
    <w:rsid w:val="00554064"/>
    <w:rsid w:val="00554305"/>
    <w:rsid w:val="00555022"/>
    <w:rsid w:val="00555D82"/>
    <w:rsid w:val="00555E5F"/>
    <w:rsid w:val="00556289"/>
    <w:rsid w:val="00556754"/>
    <w:rsid w:val="005575E7"/>
    <w:rsid w:val="00557C1A"/>
    <w:rsid w:val="00560866"/>
    <w:rsid w:val="00561601"/>
    <w:rsid w:val="00561DFA"/>
    <w:rsid w:val="005622DF"/>
    <w:rsid w:val="00562965"/>
    <w:rsid w:val="00563205"/>
    <w:rsid w:val="00563434"/>
    <w:rsid w:val="00563AB9"/>
    <w:rsid w:val="005641B7"/>
    <w:rsid w:val="00564434"/>
    <w:rsid w:val="005647E6"/>
    <w:rsid w:val="00565DAB"/>
    <w:rsid w:val="00565E4A"/>
    <w:rsid w:val="00565F69"/>
    <w:rsid w:val="00567499"/>
    <w:rsid w:val="005679BA"/>
    <w:rsid w:val="005700BB"/>
    <w:rsid w:val="0057092B"/>
    <w:rsid w:val="00570F25"/>
    <w:rsid w:val="00572E08"/>
    <w:rsid w:val="00572F63"/>
    <w:rsid w:val="005738C5"/>
    <w:rsid w:val="00573B89"/>
    <w:rsid w:val="00575254"/>
    <w:rsid w:val="00575442"/>
    <w:rsid w:val="0057677D"/>
    <w:rsid w:val="005770E2"/>
    <w:rsid w:val="00577799"/>
    <w:rsid w:val="005778BE"/>
    <w:rsid w:val="005779FC"/>
    <w:rsid w:val="005807AA"/>
    <w:rsid w:val="0058131E"/>
    <w:rsid w:val="0058152C"/>
    <w:rsid w:val="00583CD3"/>
    <w:rsid w:val="00583F63"/>
    <w:rsid w:val="00583F71"/>
    <w:rsid w:val="00585098"/>
    <w:rsid w:val="00585A57"/>
    <w:rsid w:val="00585B71"/>
    <w:rsid w:val="00586058"/>
    <w:rsid w:val="00586855"/>
    <w:rsid w:val="0058719E"/>
    <w:rsid w:val="00591EB0"/>
    <w:rsid w:val="0059255C"/>
    <w:rsid w:val="00593358"/>
    <w:rsid w:val="00594A43"/>
    <w:rsid w:val="00594E9F"/>
    <w:rsid w:val="0059523B"/>
    <w:rsid w:val="0059543B"/>
    <w:rsid w:val="00595DBD"/>
    <w:rsid w:val="00596127"/>
    <w:rsid w:val="0059799A"/>
    <w:rsid w:val="00597A9C"/>
    <w:rsid w:val="00597AAB"/>
    <w:rsid w:val="005A0E32"/>
    <w:rsid w:val="005A149B"/>
    <w:rsid w:val="005A1705"/>
    <w:rsid w:val="005A2639"/>
    <w:rsid w:val="005A321B"/>
    <w:rsid w:val="005A3225"/>
    <w:rsid w:val="005A38E3"/>
    <w:rsid w:val="005A3ED1"/>
    <w:rsid w:val="005A411B"/>
    <w:rsid w:val="005A5502"/>
    <w:rsid w:val="005A6A11"/>
    <w:rsid w:val="005A6B08"/>
    <w:rsid w:val="005A72AD"/>
    <w:rsid w:val="005A7340"/>
    <w:rsid w:val="005B040C"/>
    <w:rsid w:val="005B0E98"/>
    <w:rsid w:val="005B1226"/>
    <w:rsid w:val="005B153E"/>
    <w:rsid w:val="005B187B"/>
    <w:rsid w:val="005B2F55"/>
    <w:rsid w:val="005B3E25"/>
    <w:rsid w:val="005B4397"/>
    <w:rsid w:val="005B4B22"/>
    <w:rsid w:val="005B4D60"/>
    <w:rsid w:val="005B4E39"/>
    <w:rsid w:val="005B5003"/>
    <w:rsid w:val="005B5291"/>
    <w:rsid w:val="005B5E40"/>
    <w:rsid w:val="005B6040"/>
    <w:rsid w:val="005B6084"/>
    <w:rsid w:val="005B6152"/>
    <w:rsid w:val="005B639D"/>
    <w:rsid w:val="005B6B85"/>
    <w:rsid w:val="005B7515"/>
    <w:rsid w:val="005B75A9"/>
    <w:rsid w:val="005B7C3D"/>
    <w:rsid w:val="005C01CA"/>
    <w:rsid w:val="005C1A9F"/>
    <w:rsid w:val="005C1BC9"/>
    <w:rsid w:val="005C2140"/>
    <w:rsid w:val="005C222F"/>
    <w:rsid w:val="005C22D8"/>
    <w:rsid w:val="005C3942"/>
    <w:rsid w:val="005C3DF6"/>
    <w:rsid w:val="005C445E"/>
    <w:rsid w:val="005C5818"/>
    <w:rsid w:val="005C6BF2"/>
    <w:rsid w:val="005C7738"/>
    <w:rsid w:val="005C7DA2"/>
    <w:rsid w:val="005D06ED"/>
    <w:rsid w:val="005D089F"/>
    <w:rsid w:val="005D1283"/>
    <w:rsid w:val="005D1744"/>
    <w:rsid w:val="005D2268"/>
    <w:rsid w:val="005D25E8"/>
    <w:rsid w:val="005D2842"/>
    <w:rsid w:val="005D2A34"/>
    <w:rsid w:val="005D3029"/>
    <w:rsid w:val="005D49C3"/>
    <w:rsid w:val="005D4CD3"/>
    <w:rsid w:val="005D55A1"/>
    <w:rsid w:val="005E05CD"/>
    <w:rsid w:val="005E0869"/>
    <w:rsid w:val="005E0E0E"/>
    <w:rsid w:val="005E0F72"/>
    <w:rsid w:val="005E1EC3"/>
    <w:rsid w:val="005E248E"/>
    <w:rsid w:val="005E2655"/>
    <w:rsid w:val="005E2740"/>
    <w:rsid w:val="005E2859"/>
    <w:rsid w:val="005E2D93"/>
    <w:rsid w:val="005E43CC"/>
    <w:rsid w:val="005E4521"/>
    <w:rsid w:val="005E6103"/>
    <w:rsid w:val="005E6254"/>
    <w:rsid w:val="005E6551"/>
    <w:rsid w:val="005E6776"/>
    <w:rsid w:val="005F04BA"/>
    <w:rsid w:val="005F1110"/>
    <w:rsid w:val="005F1504"/>
    <w:rsid w:val="005F21E1"/>
    <w:rsid w:val="005F2D43"/>
    <w:rsid w:val="005F2F35"/>
    <w:rsid w:val="005F6E07"/>
    <w:rsid w:val="005F70A1"/>
    <w:rsid w:val="0060033A"/>
    <w:rsid w:val="00600A27"/>
    <w:rsid w:val="00601461"/>
    <w:rsid w:val="00604FF9"/>
    <w:rsid w:val="006053C8"/>
    <w:rsid w:val="00605F4D"/>
    <w:rsid w:val="00606A8B"/>
    <w:rsid w:val="00606AC0"/>
    <w:rsid w:val="00607563"/>
    <w:rsid w:val="00607E40"/>
    <w:rsid w:val="006107A1"/>
    <w:rsid w:val="00610C60"/>
    <w:rsid w:val="00610FE2"/>
    <w:rsid w:val="0061202C"/>
    <w:rsid w:val="00612C5E"/>
    <w:rsid w:val="00613536"/>
    <w:rsid w:val="0061406B"/>
    <w:rsid w:val="006141F9"/>
    <w:rsid w:val="006145AE"/>
    <w:rsid w:val="006156D6"/>
    <w:rsid w:val="00615BE5"/>
    <w:rsid w:val="00616067"/>
    <w:rsid w:val="0061623D"/>
    <w:rsid w:val="00616605"/>
    <w:rsid w:val="00616C72"/>
    <w:rsid w:val="006170AB"/>
    <w:rsid w:val="0061765D"/>
    <w:rsid w:val="0061771F"/>
    <w:rsid w:val="00620105"/>
    <w:rsid w:val="0062013F"/>
    <w:rsid w:val="0062084B"/>
    <w:rsid w:val="00622001"/>
    <w:rsid w:val="00622814"/>
    <w:rsid w:val="00623443"/>
    <w:rsid w:val="006236A7"/>
    <w:rsid w:val="00623C85"/>
    <w:rsid w:val="00623FD4"/>
    <w:rsid w:val="0062444E"/>
    <w:rsid w:val="00624FF8"/>
    <w:rsid w:val="00625086"/>
    <w:rsid w:val="00626072"/>
    <w:rsid w:val="006265B0"/>
    <w:rsid w:val="00627979"/>
    <w:rsid w:val="00630BD7"/>
    <w:rsid w:val="006316EB"/>
    <w:rsid w:val="00631F53"/>
    <w:rsid w:val="00631FBB"/>
    <w:rsid w:val="00632BE0"/>
    <w:rsid w:val="00632F39"/>
    <w:rsid w:val="00634313"/>
    <w:rsid w:val="006344BF"/>
    <w:rsid w:val="00634808"/>
    <w:rsid w:val="00634C7C"/>
    <w:rsid w:val="0063507C"/>
    <w:rsid w:val="006358E0"/>
    <w:rsid w:val="00635C1F"/>
    <w:rsid w:val="0063726A"/>
    <w:rsid w:val="0064066A"/>
    <w:rsid w:val="0064147D"/>
    <w:rsid w:val="0064175E"/>
    <w:rsid w:val="006418F4"/>
    <w:rsid w:val="00643C6B"/>
    <w:rsid w:val="00643F1B"/>
    <w:rsid w:val="006443E2"/>
    <w:rsid w:val="00644E92"/>
    <w:rsid w:val="00645DE5"/>
    <w:rsid w:val="0064602F"/>
    <w:rsid w:val="00646276"/>
    <w:rsid w:val="0064631A"/>
    <w:rsid w:val="0064633E"/>
    <w:rsid w:val="00647662"/>
    <w:rsid w:val="00647762"/>
    <w:rsid w:val="006500A6"/>
    <w:rsid w:val="00651076"/>
    <w:rsid w:val="00651E34"/>
    <w:rsid w:val="00651EBB"/>
    <w:rsid w:val="00652280"/>
    <w:rsid w:val="0065248C"/>
    <w:rsid w:val="0065269B"/>
    <w:rsid w:val="006528C4"/>
    <w:rsid w:val="00652F3C"/>
    <w:rsid w:val="00656120"/>
    <w:rsid w:val="00657AAC"/>
    <w:rsid w:val="00657B20"/>
    <w:rsid w:val="00657CD3"/>
    <w:rsid w:val="00660F25"/>
    <w:rsid w:val="006610E6"/>
    <w:rsid w:val="006625F5"/>
    <w:rsid w:val="00663493"/>
    <w:rsid w:val="00663B64"/>
    <w:rsid w:val="00663F3B"/>
    <w:rsid w:val="00663F9C"/>
    <w:rsid w:val="00664C4C"/>
    <w:rsid w:val="0066508A"/>
    <w:rsid w:val="00665143"/>
    <w:rsid w:val="00665A01"/>
    <w:rsid w:val="00665D00"/>
    <w:rsid w:val="006662A9"/>
    <w:rsid w:val="00666C46"/>
    <w:rsid w:val="00666CC5"/>
    <w:rsid w:val="0066792D"/>
    <w:rsid w:val="00670BCA"/>
    <w:rsid w:val="00670FDC"/>
    <w:rsid w:val="00671505"/>
    <w:rsid w:val="00671DE5"/>
    <w:rsid w:val="00671EF3"/>
    <w:rsid w:val="00672E4B"/>
    <w:rsid w:val="0067320B"/>
    <w:rsid w:val="0067322D"/>
    <w:rsid w:val="00673BFF"/>
    <w:rsid w:val="00673CB5"/>
    <w:rsid w:val="006750C8"/>
    <w:rsid w:val="006752A6"/>
    <w:rsid w:val="00677711"/>
    <w:rsid w:val="00677DD5"/>
    <w:rsid w:val="006827B0"/>
    <w:rsid w:val="006829D0"/>
    <w:rsid w:val="00683F52"/>
    <w:rsid w:val="00684A7E"/>
    <w:rsid w:val="00684BA7"/>
    <w:rsid w:val="00686C8E"/>
    <w:rsid w:val="00687400"/>
    <w:rsid w:val="00687485"/>
    <w:rsid w:val="0068760F"/>
    <w:rsid w:val="00687834"/>
    <w:rsid w:val="00687F3A"/>
    <w:rsid w:val="00687F65"/>
    <w:rsid w:val="006908B1"/>
    <w:rsid w:val="006912E8"/>
    <w:rsid w:val="00692D36"/>
    <w:rsid w:val="006931EC"/>
    <w:rsid w:val="00693CF7"/>
    <w:rsid w:val="00696030"/>
    <w:rsid w:val="006964CB"/>
    <w:rsid w:val="0069655E"/>
    <w:rsid w:val="006967F2"/>
    <w:rsid w:val="00697410"/>
    <w:rsid w:val="00697C03"/>
    <w:rsid w:val="006A1B43"/>
    <w:rsid w:val="006A1F75"/>
    <w:rsid w:val="006A20BF"/>
    <w:rsid w:val="006A28B7"/>
    <w:rsid w:val="006A2973"/>
    <w:rsid w:val="006A2A5B"/>
    <w:rsid w:val="006A2C7D"/>
    <w:rsid w:val="006A3DDF"/>
    <w:rsid w:val="006A4478"/>
    <w:rsid w:val="006A5666"/>
    <w:rsid w:val="006A5DC9"/>
    <w:rsid w:val="006A706B"/>
    <w:rsid w:val="006A7B57"/>
    <w:rsid w:val="006B06CD"/>
    <w:rsid w:val="006B140E"/>
    <w:rsid w:val="006B231B"/>
    <w:rsid w:val="006B23CF"/>
    <w:rsid w:val="006B24EF"/>
    <w:rsid w:val="006B4913"/>
    <w:rsid w:val="006B4CDD"/>
    <w:rsid w:val="006B5051"/>
    <w:rsid w:val="006B5138"/>
    <w:rsid w:val="006B534B"/>
    <w:rsid w:val="006B64A2"/>
    <w:rsid w:val="006B6713"/>
    <w:rsid w:val="006B7149"/>
    <w:rsid w:val="006C02F0"/>
    <w:rsid w:val="006C08A9"/>
    <w:rsid w:val="006C0D65"/>
    <w:rsid w:val="006C11A0"/>
    <w:rsid w:val="006C1245"/>
    <w:rsid w:val="006C1253"/>
    <w:rsid w:val="006C224B"/>
    <w:rsid w:val="006C2851"/>
    <w:rsid w:val="006C2FBC"/>
    <w:rsid w:val="006C31EB"/>
    <w:rsid w:val="006C3276"/>
    <w:rsid w:val="006C33DA"/>
    <w:rsid w:val="006C3689"/>
    <w:rsid w:val="006C398B"/>
    <w:rsid w:val="006C3DAF"/>
    <w:rsid w:val="006C5E41"/>
    <w:rsid w:val="006C5E7C"/>
    <w:rsid w:val="006C72DE"/>
    <w:rsid w:val="006C769B"/>
    <w:rsid w:val="006C79E0"/>
    <w:rsid w:val="006C7E16"/>
    <w:rsid w:val="006D0915"/>
    <w:rsid w:val="006D0F1E"/>
    <w:rsid w:val="006D1126"/>
    <w:rsid w:val="006D1EAB"/>
    <w:rsid w:val="006D1F79"/>
    <w:rsid w:val="006D22C6"/>
    <w:rsid w:val="006D26BB"/>
    <w:rsid w:val="006D3DE8"/>
    <w:rsid w:val="006D42D5"/>
    <w:rsid w:val="006D432B"/>
    <w:rsid w:val="006D4AF4"/>
    <w:rsid w:val="006D4EEC"/>
    <w:rsid w:val="006D53F6"/>
    <w:rsid w:val="006D625B"/>
    <w:rsid w:val="006E0518"/>
    <w:rsid w:val="006E0E97"/>
    <w:rsid w:val="006E0ED7"/>
    <w:rsid w:val="006E2EB0"/>
    <w:rsid w:val="006E4773"/>
    <w:rsid w:val="006E4CB9"/>
    <w:rsid w:val="006E4E5A"/>
    <w:rsid w:val="006E552A"/>
    <w:rsid w:val="006E582A"/>
    <w:rsid w:val="006E6274"/>
    <w:rsid w:val="006E6F46"/>
    <w:rsid w:val="006F02AF"/>
    <w:rsid w:val="006F1245"/>
    <w:rsid w:val="006F171F"/>
    <w:rsid w:val="006F2127"/>
    <w:rsid w:val="006F221B"/>
    <w:rsid w:val="006F246B"/>
    <w:rsid w:val="006F2653"/>
    <w:rsid w:val="006F2733"/>
    <w:rsid w:val="006F3669"/>
    <w:rsid w:val="006F4AEE"/>
    <w:rsid w:val="006F6470"/>
    <w:rsid w:val="006F6785"/>
    <w:rsid w:val="00700114"/>
    <w:rsid w:val="0070019E"/>
    <w:rsid w:val="00700989"/>
    <w:rsid w:val="00700BC0"/>
    <w:rsid w:val="00700D04"/>
    <w:rsid w:val="00702287"/>
    <w:rsid w:val="00702BAA"/>
    <w:rsid w:val="007038FF"/>
    <w:rsid w:val="00703EF2"/>
    <w:rsid w:val="00705015"/>
    <w:rsid w:val="0070543F"/>
    <w:rsid w:val="00705831"/>
    <w:rsid w:val="00707304"/>
    <w:rsid w:val="007104A6"/>
    <w:rsid w:val="00710A58"/>
    <w:rsid w:val="00710B1B"/>
    <w:rsid w:val="00710D2A"/>
    <w:rsid w:val="007121E1"/>
    <w:rsid w:val="00712895"/>
    <w:rsid w:val="00712BD8"/>
    <w:rsid w:val="00713055"/>
    <w:rsid w:val="00713351"/>
    <w:rsid w:val="00713BF7"/>
    <w:rsid w:val="00713DBC"/>
    <w:rsid w:val="00713DED"/>
    <w:rsid w:val="00714053"/>
    <w:rsid w:val="0071458A"/>
    <w:rsid w:val="0071476C"/>
    <w:rsid w:val="00714DCD"/>
    <w:rsid w:val="00714E40"/>
    <w:rsid w:val="007152CC"/>
    <w:rsid w:val="0071634F"/>
    <w:rsid w:val="00716ACE"/>
    <w:rsid w:val="00717135"/>
    <w:rsid w:val="00717DB2"/>
    <w:rsid w:val="0072016C"/>
    <w:rsid w:val="00720778"/>
    <w:rsid w:val="00720EC7"/>
    <w:rsid w:val="007236B0"/>
    <w:rsid w:val="00724450"/>
    <w:rsid w:val="007244EA"/>
    <w:rsid w:val="00724950"/>
    <w:rsid w:val="007253D3"/>
    <w:rsid w:val="00725F46"/>
    <w:rsid w:val="00727032"/>
    <w:rsid w:val="00730AE8"/>
    <w:rsid w:val="00730CAB"/>
    <w:rsid w:val="00732244"/>
    <w:rsid w:val="007347CE"/>
    <w:rsid w:val="00735141"/>
    <w:rsid w:val="007358F9"/>
    <w:rsid w:val="00735939"/>
    <w:rsid w:val="00737D65"/>
    <w:rsid w:val="007409FB"/>
    <w:rsid w:val="00740A2A"/>
    <w:rsid w:val="00742111"/>
    <w:rsid w:val="00743E7F"/>
    <w:rsid w:val="007442B7"/>
    <w:rsid w:val="007442D0"/>
    <w:rsid w:val="0074463E"/>
    <w:rsid w:val="00745088"/>
    <w:rsid w:val="00745AA2"/>
    <w:rsid w:val="00745D90"/>
    <w:rsid w:val="0074672B"/>
    <w:rsid w:val="00746814"/>
    <w:rsid w:val="007469B1"/>
    <w:rsid w:val="00746F6F"/>
    <w:rsid w:val="007474A1"/>
    <w:rsid w:val="00747868"/>
    <w:rsid w:val="00747F31"/>
    <w:rsid w:val="00751291"/>
    <w:rsid w:val="00751356"/>
    <w:rsid w:val="00752A7F"/>
    <w:rsid w:val="00753AE4"/>
    <w:rsid w:val="00754253"/>
    <w:rsid w:val="00754626"/>
    <w:rsid w:val="00754A5A"/>
    <w:rsid w:val="00754C49"/>
    <w:rsid w:val="00755E48"/>
    <w:rsid w:val="007565FD"/>
    <w:rsid w:val="00756941"/>
    <w:rsid w:val="00757120"/>
    <w:rsid w:val="00757832"/>
    <w:rsid w:val="0076084B"/>
    <w:rsid w:val="00760C63"/>
    <w:rsid w:val="0076123B"/>
    <w:rsid w:val="00762A3E"/>
    <w:rsid w:val="00764186"/>
    <w:rsid w:val="007647EF"/>
    <w:rsid w:val="007662D4"/>
    <w:rsid w:val="00766F9D"/>
    <w:rsid w:val="007678A6"/>
    <w:rsid w:val="00771C92"/>
    <w:rsid w:val="00771D19"/>
    <w:rsid w:val="0077386F"/>
    <w:rsid w:val="00773BC0"/>
    <w:rsid w:val="00774098"/>
    <w:rsid w:val="00774E0A"/>
    <w:rsid w:val="00775640"/>
    <w:rsid w:val="00775727"/>
    <w:rsid w:val="00776B10"/>
    <w:rsid w:val="00776D3D"/>
    <w:rsid w:val="0078093E"/>
    <w:rsid w:val="00782CF5"/>
    <w:rsid w:val="007838C5"/>
    <w:rsid w:val="00783B0C"/>
    <w:rsid w:val="00783CDC"/>
    <w:rsid w:val="00783D29"/>
    <w:rsid w:val="00784279"/>
    <w:rsid w:val="0078443C"/>
    <w:rsid w:val="00784F65"/>
    <w:rsid w:val="0078528B"/>
    <w:rsid w:val="00785352"/>
    <w:rsid w:val="0078628B"/>
    <w:rsid w:val="007864E7"/>
    <w:rsid w:val="007864F8"/>
    <w:rsid w:val="0078702A"/>
    <w:rsid w:val="00787DD4"/>
    <w:rsid w:val="00791DE3"/>
    <w:rsid w:val="00792114"/>
    <w:rsid w:val="00792547"/>
    <w:rsid w:val="00792890"/>
    <w:rsid w:val="00793B47"/>
    <w:rsid w:val="007945C5"/>
    <w:rsid w:val="00794B81"/>
    <w:rsid w:val="007950D1"/>
    <w:rsid w:val="00795E2D"/>
    <w:rsid w:val="00795E5C"/>
    <w:rsid w:val="00796C29"/>
    <w:rsid w:val="00797147"/>
    <w:rsid w:val="00797571"/>
    <w:rsid w:val="00797C77"/>
    <w:rsid w:val="007A0B4F"/>
    <w:rsid w:val="007A1F3D"/>
    <w:rsid w:val="007A2147"/>
    <w:rsid w:val="007A30AD"/>
    <w:rsid w:val="007A32F5"/>
    <w:rsid w:val="007A4B52"/>
    <w:rsid w:val="007A4BE9"/>
    <w:rsid w:val="007A578F"/>
    <w:rsid w:val="007A57F8"/>
    <w:rsid w:val="007A64FE"/>
    <w:rsid w:val="007A6A2F"/>
    <w:rsid w:val="007A6F23"/>
    <w:rsid w:val="007A72DE"/>
    <w:rsid w:val="007A7367"/>
    <w:rsid w:val="007A795E"/>
    <w:rsid w:val="007A7BB7"/>
    <w:rsid w:val="007B197C"/>
    <w:rsid w:val="007B1CCB"/>
    <w:rsid w:val="007B2B1C"/>
    <w:rsid w:val="007B2C26"/>
    <w:rsid w:val="007B2E59"/>
    <w:rsid w:val="007B36F4"/>
    <w:rsid w:val="007B55A9"/>
    <w:rsid w:val="007B5FE3"/>
    <w:rsid w:val="007B6814"/>
    <w:rsid w:val="007B7656"/>
    <w:rsid w:val="007C0A8D"/>
    <w:rsid w:val="007C0B48"/>
    <w:rsid w:val="007C11F3"/>
    <w:rsid w:val="007C3516"/>
    <w:rsid w:val="007C48ED"/>
    <w:rsid w:val="007C5091"/>
    <w:rsid w:val="007C5194"/>
    <w:rsid w:val="007C6492"/>
    <w:rsid w:val="007C6799"/>
    <w:rsid w:val="007C6E92"/>
    <w:rsid w:val="007C71D6"/>
    <w:rsid w:val="007D02EC"/>
    <w:rsid w:val="007D07ED"/>
    <w:rsid w:val="007D0892"/>
    <w:rsid w:val="007D12E5"/>
    <w:rsid w:val="007D1385"/>
    <w:rsid w:val="007D14EE"/>
    <w:rsid w:val="007D16C6"/>
    <w:rsid w:val="007D2371"/>
    <w:rsid w:val="007D2A8F"/>
    <w:rsid w:val="007D340A"/>
    <w:rsid w:val="007D3BCE"/>
    <w:rsid w:val="007D44E9"/>
    <w:rsid w:val="007D4F2F"/>
    <w:rsid w:val="007D5089"/>
    <w:rsid w:val="007D5599"/>
    <w:rsid w:val="007D68FC"/>
    <w:rsid w:val="007D7A04"/>
    <w:rsid w:val="007D7C31"/>
    <w:rsid w:val="007D7ECD"/>
    <w:rsid w:val="007E0840"/>
    <w:rsid w:val="007E1484"/>
    <w:rsid w:val="007E3A4D"/>
    <w:rsid w:val="007E4261"/>
    <w:rsid w:val="007E4949"/>
    <w:rsid w:val="007E5C4F"/>
    <w:rsid w:val="007E69B1"/>
    <w:rsid w:val="007E6AEC"/>
    <w:rsid w:val="007F0086"/>
    <w:rsid w:val="007F0D9C"/>
    <w:rsid w:val="007F15DA"/>
    <w:rsid w:val="007F1C17"/>
    <w:rsid w:val="007F20AF"/>
    <w:rsid w:val="007F22BD"/>
    <w:rsid w:val="007F25B7"/>
    <w:rsid w:val="007F35EB"/>
    <w:rsid w:val="007F36F0"/>
    <w:rsid w:val="007F3D45"/>
    <w:rsid w:val="007F4D08"/>
    <w:rsid w:val="007F6129"/>
    <w:rsid w:val="007F748E"/>
    <w:rsid w:val="007F77FF"/>
    <w:rsid w:val="007F7E1C"/>
    <w:rsid w:val="00800A86"/>
    <w:rsid w:val="00800E12"/>
    <w:rsid w:val="008015F7"/>
    <w:rsid w:val="00802700"/>
    <w:rsid w:val="00802BBD"/>
    <w:rsid w:val="008030A4"/>
    <w:rsid w:val="0080390B"/>
    <w:rsid w:val="008042A4"/>
    <w:rsid w:val="008042DF"/>
    <w:rsid w:val="00804C5E"/>
    <w:rsid w:val="008055EB"/>
    <w:rsid w:val="00805959"/>
    <w:rsid w:val="00805F54"/>
    <w:rsid w:val="00806D73"/>
    <w:rsid w:val="0081016B"/>
    <w:rsid w:val="00810F3C"/>
    <w:rsid w:val="0081156A"/>
    <w:rsid w:val="00811813"/>
    <w:rsid w:val="008121B2"/>
    <w:rsid w:val="008126A1"/>
    <w:rsid w:val="00812BCA"/>
    <w:rsid w:val="0081318E"/>
    <w:rsid w:val="008135D7"/>
    <w:rsid w:val="008146D4"/>
    <w:rsid w:val="00814F88"/>
    <w:rsid w:val="00815195"/>
    <w:rsid w:val="00815E1A"/>
    <w:rsid w:val="00816074"/>
    <w:rsid w:val="00816DBD"/>
    <w:rsid w:val="0081754E"/>
    <w:rsid w:val="00820A31"/>
    <w:rsid w:val="00820E11"/>
    <w:rsid w:val="0082191A"/>
    <w:rsid w:val="00822EEA"/>
    <w:rsid w:val="0082439D"/>
    <w:rsid w:val="008258B5"/>
    <w:rsid w:val="00825B7A"/>
    <w:rsid w:val="0082685F"/>
    <w:rsid w:val="008271A0"/>
    <w:rsid w:val="00827561"/>
    <w:rsid w:val="00827D23"/>
    <w:rsid w:val="00830021"/>
    <w:rsid w:val="0083029B"/>
    <w:rsid w:val="00830766"/>
    <w:rsid w:val="00832F62"/>
    <w:rsid w:val="00833401"/>
    <w:rsid w:val="00834748"/>
    <w:rsid w:val="008353DB"/>
    <w:rsid w:val="008354B8"/>
    <w:rsid w:val="0083560F"/>
    <w:rsid w:val="00835EDD"/>
    <w:rsid w:val="00836265"/>
    <w:rsid w:val="00836C2C"/>
    <w:rsid w:val="00836DC4"/>
    <w:rsid w:val="0084054E"/>
    <w:rsid w:val="0084065D"/>
    <w:rsid w:val="00842C59"/>
    <w:rsid w:val="00843772"/>
    <w:rsid w:val="0084409C"/>
    <w:rsid w:val="00844412"/>
    <w:rsid w:val="00844F02"/>
    <w:rsid w:val="00845948"/>
    <w:rsid w:val="008463E1"/>
    <w:rsid w:val="0084682B"/>
    <w:rsid w:val="008510F5"/>
    <w:rsid w:val="00851471"/>
    <w:rsid w:val="0085170F"/>
    <w:rsid w:val="008518A6"/>
    <w:rsid w:val="008519CA"/>
    <w:rsid w:val="00851CF1"/>
    <w:rsid w:val="00852069"/>
    <w:rsid w:val="0085221D"/>
    <w:rsid w:val="0085355D"/>
    <w:rsid w:val="008538A3"/>
    <w:rsid w:val="0085391A"/>
    <w:rsid w:val="008545C4"/>
    <w:rsid w:val="00854788"/>
    <w:rsid w:val="00854C18"/>
    <w:rsid w:val="0085527B"/>
    <w:rsid w:val="00855DDF"/>
    <w:rsid w:val="00856345"/>
    <w:rsid w:val="0085666B"/>
    <w:rsid w:val="00856D1D"/>
    <w:rsid w:val="008578DE"/>
    <w:rsid w:val="008612AC"/>
    <w:rsid w:val="008640FC"/>
    <w:rsid w:val="0086417D"/>
    <w:rsid w:val="0086576D"/>
    <w:rsid w:val="00865B3A"/>
    <w:rsid w:val="008663A2"/>
    <w:rsid w:val="00866DA5"/>
    <w:rsid w:val="00867ED3"/>
    <w:rsid w:val="00871FBE"/>
    <w:rsid w:val="0087277A"/>
    <w:rsid w:val="008728CB"/>
    <w:rsid w:val="008745A1"/>
    <w:rsid w:val="008747B1"/>
    <w:rsid w:val="00874ECD"/>
    <w:rsid w:val="0087511F"/>
    <w:rsid w:val="0087695E"/>
    <w:rsid w:val="00876B7B"/>
    <w:rsid w:val="00876F2E"/>
    <w:rsid w:val="0088077D"/>
    <w:rsid w:val="008829D5"/>
    <w:rsid w:val="00882AE6"/>
    <w:rsid w:val="00886B88"/>
    <w:rsid w:val="00887196"/>
    <w:rsid w:val="008878D8"/>
    <w:rsid w:val="00887C22"/>
    <w:rsid w:val="00887F11"/>
    <w:rsid w:val="008912D9"/>
    <w:rsid w:val="00892646"/>
    <w:rsid w:val="00892938"/>
    <w:rsid w:val="0089309A"/>
    <w:rsid w:val="00894C7B"/>
    <w:rsid w:val="00895F04"/>
    <w:rsid w:val="008A0B20"/>
    <w:rsid w:val="008A0CFE"/>
    <w:rsid w:val="008A125E"/>
    <w:rsid w:val="008A1642"/>
    <w:rsid w:val="008A19DB"/>
    <w:rsid w:val="008A2325"/>
    <w:rsid w:val="008A259C"/>
    <w:rsid w:val="008A29C1"/>
    <w:rsid w:val="008A33AB"/>
    <w:rsid w:val="008A344C"/>
    <w:rsid w:val="008A3956"/>
    <w:rsid w:val="008A7B57"/>
    <w:rsid w:val="008B00D2"/>
    <w:rsid w:val="008B11C5"/>
    <w:rsid w:val="008B1CAF"/>
    <w:rsid w:val="008B2807"/>
    <w:rsid w:val="008B2E02"/>
    <w:rsid w:val="008B4A1B"/>
    <w:rsid w:val="008B515F"/>
    <w:rsid w:val="008B5501"/>
    <w:rsid w:val="008B6BBA"/>
    <w:rsid w:val="008C07D9"/>
    <w:rsid w:val="008C0B2F"/>
    <w:rsid w:val="008C2DBE"/>
    <w:rsid w:val="008C38D7"/>
    <w:rsid w:val="008C3A95"/>
    <w:rsid w:val="008C4C6D"/>
    <w:rsid w:val="008C595D"/>
    <w:rsid w:val="008C5C95"/>
    <w:rsid w:val="008C6299"/>
    <w:rsid w:val="008C7123"/>
    <w:rsid w:val="008C7198"/>
    <w:rsid w:val="008D05D0"/>
    <w:rsid w:val="008D1F75"/>
    <w:rsid w:val="008D2848"/>
    <w:rsid w:val="008D2CFE"/>
    <w:rsid w:val="008D3546"/>
    <w:rsid w:val="008D354C"/>
    <w:rsid w:val="008D417E"/>
    <w:rsid w:val="008D49CC"/>
    <w:rsid w:val="008D4B3E"/>
    <w:rsid w:val="008D5D17"/>
    <w:rsid w:val="008D6183"/>
    <w:rsid w:val="008D633B"/>
    <w:rsid w:val="008D6823"/>
    <w:rsid w:val="008D7322"/>
    <w:rsid w:val="008D7829"/>
    <w:rsid w:val="008E0552"/>
    <w:rsid w:val="008E1D58"/>
    <w:rsid w:val="008E1DA0"/>
    <w:rsid w:val="008E2137"/>
    <w:rsid w:val="008E3BF5"/>
    <w:rsid w:val="008E4319"/>
    <w:rsid w:val="008E55EB"/>
    <w:rsid w:val="008E7327"/>
    <w:rsid w:val="008F03D9"/>
    <w:rsid w:val="008F1EDB"/>
    <w:rsid w:val="008F1F58"/>
    <w:rsid w:val="008F23AB"/>
    <w:rsid w:val="008F2916"/>
    <w:rsid w:val="008F2DEF"/>
    <w:rsid w:val="008F33D8"/>
    <w:rsid w:val="008F51FC"/>
    <w:rsid w:val="008F608B"/>
    <w:rsid w:val="008F79F7"/>
    <w:rsid w:val="008F7F2B"/>
    <w:rsid w:val="00900E9B"/>
    <w:rsid w:val="00900F94"/>
    <w:rsid w:val="0090291B"/>
    <w:rsid w:val="00904190"/>
    <w:rsid w:val="00904324"/>
    <w:rsid w:val="00904485"/>
    <w:rsid w:val="00906B12"/>
    <w:rsid w:val="00906F06"/>
    <w:rsid w:val="009071D7"/>
    <w:rsid w:val="00907908"/>
    <w:rsid w:val="00907B57"/>
    <w:rsid w:val="00907B64"/>
    <w:rsid w:val="00910201"/>
    <w:rsid w:val="00910F40"/>
    <w:rsid w:val="009125DE"/>
    <w:rsid w:val="009129B7"/>
    <w:rsid w:val="00912F1E"/>
    <w:rsid w:val="009147C6"/>
    <w:rsid w:val="00915999"/>
    <w:rsid w:val="009177CC"/>
    <w:rsid w:val="009202E5"/>
    <w:rsid w:val="00921450"/>
    <w:rsid w:val="00923956"/>
    <w:rsid w:val="00923E7E"/>
    <w:rsid w:val="00924485"/>
    <w:rsid w:val="009248D7"/>
    <w:rsid w:val="00924FB7"/>
    <w:rsid w:val="0092657C"/>
    <w:rsid w:val="00926C01"/>
    <w:rsid w:val="00926EF7"/>
    <w:rsid w:val="00926FBB"/>
    <w:rsid w:val="00930412"/>
    <w:rsid w:val="009309D7"/>
    <w:rsid w:val="00931291"/>
    <w:rsid w:val="0093130D"/>
    <w:rsid w:val="00932EC7"/>
    <w:rsid w:val="0093317B"/>
    <w:rsid w:val="00934213"/>
    <w:rsid w:val="009351E2"/>
    <w:rsid w:val="00935250"/>
    <w:rsid w:val="0093549C"/>
    <w:rsid w:val="009357E5"/>
    <w:rsid w:val="00935F8E"/>
    <w:rsid w:val="0094064C"/>
    <w:rsid w:val="009407B4"/>
    <w:rsid w:val="00940CC1"/>
    <w:rsid w:val="00940FFB"/>
    <w:rsid w:val="00941432"/>
    <w:rsid w:val="00941CFC"/>
    <w:rsid w:val="0094210C"/>
    <w:rsid w:val="009435F6"/>
    <w:rsid w:val="009437D7"/>
    <w:rsid w:val="00944D36"/>
    <w:rsid w:val="009455C8"/>
    <w:rsid w:val="00945CCE"/>
    <w:rsid w:val="009462A5"/>
    <w:rsid w:val="00946413"/>
    <w:rsid w:val="009467B7"/>
    <w:rsid w:val="00946A24"/>
    <w:rsid w:val="009474F9"/>
    <w:rsid w:val="0094766E"/>
    <w:rsid w:val="00950913"/>
    <w:rsid w:val="00951066"/>
    <w:rsid w:val="00951137"/>
    <w:rsid w:val="009515EE"/>
    <w:rsid w:val="00952518"/>
    <w:rsid w:val="009527CE"/>
    <w:rsid w:val="009534C3"/>
    <w:rsid w:val="0095427D"/>
    <w:rsid w:val="00954BF0"/>
    <w:rsid w:val="00954C8B"/>
    <w:rsid w:val="00956764"/>
    <w:rsid w:val="00957F63"/>
    <w:rsid w:val="00960ED3"/>
    <w:rsid w:val="00961107"/>
    <w:rsid w:val="009623A8"/>
    <w:rsid w:val="009628EF"/>
    <w:rsid w:val="00963B80"/>
    <w:rsid w:val="00965A73"/>
    <w:rsid w:val="00965AD1"/>
    <w:rsid w:val="00966058"/>
    <w:rsid w:val="00967E28"/>
    <w:rsid w:val="0097024C"/>
    <w:rsid w:val="0097035D"/>
    <w:rsid w:val="009704D1"/>
    <w:rsid w:val="009708C1"/>
    <w:rsid w:val="00970A43"/>
    <w:rsid w:val="009716CE"/>
    <w:rsid w:val="00971B48"/>
    <w:rsid w:val="00971FAD"/>
    <w:rsid w:val="009720D5"/>
    <w:rsid w:val="009723FE"/>
    <w:rsid w:val="0097268D"/>
    <w:rsid w:val="009726BE"/>
    <w:rsid w:val="00973ACB"/>
    <w:rsid w:val="00973AE6"/>
    <w:rsid w:val="00973AF9"/>
    <w:rsid w:val="00974F6B"/>
    <w:rsid w:val="0097649B"/>
    <w:rsid w:val="0097658E"/>
    <w:rsid w:val="009769B4"/>
    <w:rsid w:val="00976BCF"/>
    <w:rsid w:val="00976FDB"/>
    <w:rsid w:val="0097751A"/>
    <w:rsid w:val="00977611"/>
    <w:rsid w:val="00977AE9"/>
    <w:rsid w:val="00977AEE"/>
    <w:rsid w:val="009816BD"/>
    <w:rsid w:val="009817FB"/>
    <w:rsid w:val="00982ED4"/>
    <w:rsid w:val="00983894"/>
    <w:rsid w:val="009840E3"/>
    <w:rsid w:val="00984222"/>
    <w:rsid w:val="009845FF"/>
    <w:rsid w:val="009847A0"/>
    <w:rsid w:val="00984987"/>
    <w:rsid w:val="00984E94"/>
    <w:rsid w:val="00984F55"/>
    <w:rsid w:val="0098590A"/>
    <w:rsid w:val="00985914"/>
    <w:rsid w:val="00985D0D"/>
    <w:rsid w:val="009867D7"/>
    <w:rsid w:val="009873B8"/>
    <w:rsid w:val="009919CB"/>
    <w:rsid w:val="009925BE"/>
    <w:rsid w:val="009926D6"/>
    <w:rsid w:val="009929BF"/>
    <w:rsid w:val="0099319E"/>
    <w:rsid w:val="00993FF4"/>
    <w:rsid w:val="00994383"/>
    <w:rsid w:val="00994708"/>
    <w:rsid w:val="00997000"/>
    <w:rsid w:val="00997C10"/>
    <w:rsid w:val="00997C15"/>
    <w:rsid w:val="009A0634"/>
    <w:rsid w:val="009A17E9"/>
    <w:rsid w:val="009A2129"/>
    <w:rsid w:val="009A2317"/>
    <w:rsid w:val="009A4844"/>
    <w:rsid w:val="009A4985"/>
    <w:rsid w:val="009A4F7D"/>
    <w:rsid w:val="009A5022"/>
    <w:rsid w:val="009A5A15"/>
    <w:rsid w:val="009A5C07"/>
    <w:rsid w:val="009A5C7A"/>
    <w:rsid w:val="009A7EB0"/>
    <w:rsid w:val="009B3731"/>
    <w:rsid w:val="009B4502"/>
    <w:rsid w:val="009B555A"/>
    <w:rsid w:val="009B77D6"/>
    <w:rsid w:val="009C0A7D"/>
    <w:rsid w:val="009C1547"/>
    <w:rsid w:val="009C1A66"/>
    <w:rsid w:val="009C1A8B"/>
    <w:rsid w:val="009C20D1"/>
    <w:rsid w:val="009C271E"/>
    <w:rsid w:val="009C39A1"/>
    <w:rsid w:val="009C3FC2"/>
    <w:rsid w:val="009C4E25"/>
    <w:rsid w:val="009C5C9A"/>
    <w:rsid w:val="009C5CD4"/>
    <w:rsid w:val="009C6E53"/>
    <w:rsid w:val="009C6F50"/>
    <w:rsid w:val="009C7757"/>
    <w:rsid w:val="009D03AB"/>
    <w:rsid w:val="009D0B4C"/>
    <w:rsid w:val="009D180E"/>
    <w:rsid w:val="009D1B77"/>
    <w:rsid w:val="009D20BD"/>
    <w:rsid w:val="009D22C8"/>
    <w:rsid w:val="009D2968"/>
    <w:rsid w:val="009D4693"/>
    <w:rsid w:val="009D47A7"/>
    <w:rsid w:val="009D4844"/>
    <w:rsid w:val="009D48D0"/>
    <w:rsid w:val="009D491B"/>
    <w:rsid w:val="009D55E7"/>
    <w:rsid w:val="009D55FF"/>
    <w:rsid w:val="009D6710"/>
    <w:rsid w:val="009D771C"/>
    <w:rsid w:val="009D7B3F"/>
    <w:rsid w:val="009E0405"/>
    <w:rsid w:val="009E06A2"/>
    <w:rsid w:val="009E0B01"/>
    <w:rsid w:val="009E112B"/>
    <w:rsid w:val="009E2450"/>
    <w:rsid w:val="009E2609"/>
    <w:rsid w:val="009E2F50"/>
    <w:rsid w:val="009E30B8"/>
    <w:rsid w:val="009E3CFE"/>
    <w:rsid w:val="009E5180"/>
    <w:rsid w:val="009E6597"/>
    <w:rsid w:val="009E692D"/>
    <w:rsid w:val="009E7283"/>
    <w:rsid w:val="009F01A1"/>
    <w:rsid w:val="009F06CD"/>
    <w:rsid w:val="009F1B58"/>
    <w:rsid w:val="009F1CC1"/>
    <w:rsid w:val="009F26DB"/>
    <w:rsid w:val="009F2D12"/>
    <w:rsid w:val="009F35DC"/>
    <w:rsid w:val="009F3626"/>
    <w:rsid w:val="009F384E"/>
    <w:rsid w:val="009F3F1B"/>
    <w:rsid w:val="009F4607"/>
    <w:rsid w:val="009F5772"/>
    <w:rsid w:val="009F6A68"/>
    <w:rsid w:val="00A004A4"/>
    <w:rsid w:val="00A00A4C"/>
    <w:rsid w:val="00A01146"/>
    <w:rsid w:val="00A01480"/>
    <w:rsid w:val="00A018D7"/>
    <w:rsid w:val="00A0280E"/>
    <w:rsid w:val="00A02BB6"/>
    <w:rsid w:val="00A02BF9"/>
    <w:rsid w:val="00A02EF3"/>
    <w:rsid w:val="00A0301C"/>
    <w:rsid w:val="00A03339"/>
    <w:rsid w:val="00A037F3"/>
    <w:rsid w:val="00A0412E"/>
    <w:rsid w:val="00A044A6"/>
    <w:rsid w:val="00A045AD"/>
    <w:rsid w:val="00A05229"/>
    <w:rsid w:val="00A05AA0"/>
    <w:rsid w:val="00A06C8F"/>
    <w:rsid w:val="00A078F6"/>
    <w:rsid w:val="00A1017C"/>
    <w:rsid w:val="00A10A22"/>
    <w:rsid w:val="00A1128D"/>
    <w:rsid w:val="00A11518"/>
    <w:rsid w:val="00A11AD4"/>
    <w:rsid w:val="00A12107"/>
    <w:rsid w:val="00A13AB2"/>
    <w:rsid w:val="00A13F89"/>
    <w:rsid w:val="00A14808"/>
    <w:rsid w:val="00A14907"/>
    <w:rsid w:val="00A15358"/>
    <w:rsid w:val="00A16A9D"/>
    <w:rsid w:val="00A1760E"/>
    <w:rsid w:val="00A17C31"/>
    <w:rsid w:val="00A2034C"/>
    <w:rsid w:val="00A2238C"/>
    <w:rsid w:val="00A22646"/>
    <w:rsid w:val="00A22E1D"/>
    <w:rsid w:val="00A2352D"/>
    <w:rsid w:val="00A2369A"/>
    <w:rsid w:val="00A23997"/>
    <w:rsid w:val="00A2443A"/>
    <w:rsid w:val="00A258B5"/>
    <w:rsid w:val="00A25D2F"/>
    <w:rsid w:val="00A26660"/>
    <w:rsid w:val="00A2776F"/>
    <w:rsid w:val="00A3191A"/>
    <w:rsid w:val="00A31A85"/>
    <w:rsid w:val="00A31B0B"/>
    <w:rsid w:val="00A325AE"/>
    <w:rsid w:val="00A3322B"/>
    <w:rsid w:val="00A334A1"/>
    <w:rsid w:val="00A33688"/>
    <w:rsid w:val="00A35E47"/>
    <w:rsid w:val="00A35F5F"/>
    <w:rsid w:val="00A373EB"/>
    <w:rsid w:val="00A40417"/>
    <w:rsid w:val="00A40808"/>
    <w:rsid w:val="00A40B53"/>
    <w:rsid w:val="00A41B7F"/>
    <w:rsid w:val="00A41D56"/>
    <w:rsid w:val="00A42581"/>
    <w:rsid w:val="00A43AC3"/>
    <w:rsid w:val="00A445FB"/>
    <w:rsid w:val="00A44634"/>
    <w:rsid w:val="00A4503E"/>
    <w:rsid w:val="00A454F6"/>
    <w:rsid w:val="00A45B67"/>
    <w:rsid w:val="00A45EE6"/>
    <w:rsid w:val="00A460AA"/>
    <w:rsid w:val="00A46B19"/>
    <w:rsid w:val="00A471CD"/>
    <w:rsid w:val="00A477A4"/>
    <w:rsid w:val="00A47BCC"/>
    <w:rsid w:val="00A47C19"/>
    <w:rsid w:val="00A47DC0"/>
    <w:rsid w:val="00A47E74"/>
    <w:rsid w:val="00A509EE"/>
    <w:rsid w:val="00A50FBB"/>
    <w:rsid w:val="00A514F9"/>
    <w:rsid w:val="00A516B2"/>
    <w:rsid w:val="00A52522"/>
    <w:rsid w:val="00A537AA"/>
    <w:rsid w:val="00A53D90"/>
    <w:rsid w:val="00A548E1"/>
    <w:rsid w:val="00A552A2"/>
    <w:rsid w:val="00A5606B"/>
    <w:rsid w:val="00A56BFD"/>
    <w:rsid w:val="00A579D1"/>
    <w:rsid w:val="00A60014"/>
    <w:rsid w:val="00A62C1A"/>
    <w:rsid w:val="00A63804"/>
    <w:rsid w:val="00A6388E"/>
    <w:rsid w:val="00A645E5"/>
    <w:rsid w:val="00A64935"/>
    <w:rsid w:val="00A64A04"/>
    <w:rsid w:val="00A64CD6"/>
    <w:rsid w:val="00A65438"/>
    <w:rsid w:val="00A655FA"/>
    <w:rsid w:val="00A661E6"/>
    <w:rsid w:val="00A665C2"/>
    <w:rsid w:val="00A709AD"/>
    <w:rsid w:val="00A70D19"/>
    <w:rsid w:val="00A72037"/>
    <w:rsid w:val="00A7224E"/>
    <w:rsid w:val="00A72683"/>
    <w:rsid w:val="00A72F0D"/>
    <w:rsid w:val="00A72F9D"/>
    <w:rsid w:val="00A737F9"/>
    <w:rsid w:val="00A73D77"/>
    <w:rsid w:val="00A7595D"/>
    <w:rsid w:val="00A7642E"/>
    <w:rsid w:val="00A765C4"/>
    <w:rsid w:val="00A7782F"/>
    <w:rsid w:val="00A81CC6"/>
    <w:rsid w:val="00A82CAF"/>
    <w:rsid w:val="00A83113"/>
    <w:rsid w:val="00A83218"/>
    <w:rsid w:val="00A85CEE"/>
    <w:rsid w:val="00A85D84"/>
    <w:rsid w:val="00A86425"/>
    <w:rsid w:val="00A8675A"/>
    <w:rsid w:val="00A86A54"/>
    <w:rsid w:val="00A86ADA"/>
    <w:rsid w:val="00A86DCE"/>
    <w:rsid w:val="00A911A9"/>
    <w:rsid w:val="00A91DB0"/>
    <w:rsid w:val="00A91DE4"/>
    <w:rsid w:val="00A9335C"/>
    <w:rsid w:val="00A93519"/>
    <w:rsid w:val="00A9378F"/>
    <w:rsid w:val="00A937AB"/>
    <w:rsid w:val="00A93F86"/>
    <w:rsid w:val="00A9483B"/>
    <w:rsid w:val="00A953DA"/>
    <w:rsid w:val="00A96EAC"/>
    <w:rsid w:val="00A97087"/>
    <w:rsid w:val="00A97526"/>
    <w:rsid w:val="00A97914"/>
    <w:rsid w:val="00AA0270"/>
    <w:rsid w:val="00AA2206"/>
    <w:rsid w:val="00AA2681"/>
    <w:rsid w:val="00AA27D4"/>
    <w:rsid w:val="00AA2EF6"/>
    <w:rsid w:val="00AA3943"/>
    <w:rsid w:val="00AA3D25"/>
    <w:rsid w:val="00AA49EA"/>
    <w:rsid w:val="00AA4D53"/>
    <w:rsid w:val="00AA56B5"/>
    <w:rsid w:val="00AA5E24"/>
    <w:rsid w:val="00AA6034"/>
    <w:rsid w:val="00AA62E4"/>
    <w:rsid w:val="00AA6F13"/>
    <w:rsid w:val="00AA7016"/>
    <w:rsid w:val="00AB01BD"/>
    <w:rsid w:val="00AB2B9D"/>
    <w:rsid w:val="00AB32DC"/>
    <w:rsid w:val="00AB3DF9"/>
    <w:rsid w:val="00AB410D"/>
    <w:rsid w:val="00AB4133"/>
    <w:rsid w:val="00AB4282"/>
    <w:rsid w:val="00AB5BF5"/>
    <w:rsid w:val="00AB7937"/>
    <w:rsid w:val="00AC0006"/>
    <w:rsid w:val="00AC08A5"/>
    <w:rsid w:val="00AC0C5E"/>
    <w:rsid w:val="00AC1290"/>
    <w:rsid w:val="00AC4737"/>
    <w:rsid w:val="00AC4EA5"/>
    <w:rsid w:val="00AC5CA8"/>
    <w:rsid w:val="00AC6964"/>
    <w:rsid w:val="00AD0517"/>
    <w:rsid w:val="00AD0E75"/>
    <w:rsid w:val="00AD202A"/>
    <w:rsid w:val="00AD452E"/>
    <w:rsid w:val="00AD5725"/>
    <w:rsid w:val="00AD57DD"/>
    <w:rsid w:val="00AD5EDF"/>
    <w:rsid w:val="00AD7098"/>
    <w:rsid w:val="00AD71A8"/>
    <w:rsid w:val="00AD71FF"/>
    <w:rsid w:val="00AD72A3"/>
    <w:rsid w:val="00AD77EE"/>
    <w:rsid w:val="00AD7D38"/>
    <w:rsid w:val="00AD7D64"/>
    <w:rsid w:val="00AD7F09"/>
    <w:rsid w:val="00AE02D1"/>
    <w:rsid w:val="00AE0DFB"/>
    <w:rsid w:val="00AE0E4E"/>
    <w:rsid w:val="00AE18BE"/>
    <w:rsid w:val="00AE2853"/>
    <w:rsid w:val="00AE3E2F"/>
    <w:rsid w:val="00AE74FC"/>
    <w:rsid w:val="00AE79B2"/>
    <w:rsid w:val="00AE7A9F"/>
    <w:rsid w:val="00AF2755"/>
    <w:rsid w:val="00AF32BC"/>
    <w:rsid w:val="00AF33ED"/>
    <w:rsid w:val="00AF3589"/>
    <w:rsid w:val="00AF377F"/>
    <w:rsid w:val="00AF4655"/>
    <w:rsid w:val="00AF4793"/>
    <w:rsid w:val="00AF4A27"/>
    <w:rsid w:val="00AF5A29"/>
    <w:rsid w:val="00AF6895"/>
    <w:rsid w:val="00AF7AEC"/>
    <w:rsid w:val="00B00548"/>
    <w:rsid w:val="00B00793"/>
    <w:rsid w:val="00B00DE9"/>
    <w:rsid w:val="00B00FCA"/>
    <w:rsid w:val="00B01CEA"/>
    <w:rsid w:val="00B03775"/>
    <w:rsid w:val="00B1069A"/>
    <w:rsid w:val="00B10A87"/>
    <w:rsid w:val="00B10ADE"/>
    <w:rsid w:val="00B12181"/>
    <w:rsid w:val="00B12777"/>
    <w:rsid w:val="00B12EAA"/>
    <w:rsid w:val="00B1334B"/>
    <w:rsid w:val="00B137B3"/>
    <w:rsid w:val="00B13A6F"/>
    <w:rsid w:val="00B14102"/>
    <w:rsid w:val="00B1483C"/>
    <w:rsid w:val="00B16197"/>
    <w:rsid w:val="00B17A74"/>
    <w:rsid w:val="00B17D0A"/>
    <w:rsid w:val="00B2010B"/>
    <w:rsid w:val="00B20906"/>
    <w:rsid w:val="00B20B08"/>
    <w:rsid w:val="00B210DE"/>
    <w:rsid w:val="00B21E21"/>
    <w:rsid w:val="00B22169"/>
    <w:rsid w:val="00B227C3"/>
    <w:rsid w:val="00B22A27"/>
    <w:rsid w:val="00B24522"/>
    <w:rsid w:val="00B24A73"/>
    <w:rsid w:val="00B25FB7"/>
    <w:rsid w:val="00B2673F"/>
    <w:rsid w:val="00B26E35"/>
    <w:rsid w:val="00B26F31"/>
    <w:rsid w:val="00B27797"/>
    <w:rsid w:val="00B27E90"/>
    <w:rsid w:val="00B27E9F"/>
    <w:rsid w:val="00B30493"/>
    <w:rsid w:val="00B30CE9"/>
    <w:rsid w:val="00B31FC1"/>
    <w:rsid w:val="00B32DD6"/>
    <w:rsid w:val="00B334BE"/>
    <w:rsid w:val="00B334F8"/>
    <w:rsid w:val="00B338EC"/>
    <w:rsid w:val="00B33EB1"/>
    <w:rsid w:val="00B3429D"/>
    <w:rsid w:val="00B347F5"/>
    <w:rsid w:val="00B35462"/>
    <w:rsid w:val="00B36735"/>
    <w:rsid w:val="00B36B98"/>
    <w:rsid w:val="00B37AE8"/>
    <w:rsid w:val="00B37C37"/>
    <w:rsid w:val="00B37D92"/>
    <w:rsid w:val="00B405CC"/>
    <w:rsid w:val="00B43061"/>
    <w:rsid w:val="00B43A5C"/>
    <w:rsid w:val="00B442D0"/>
    <w:rsid w:val="00B44856"/>
    <w:rsid w:val="00B450B7"/>
    <w:rsid w:val="00B452EA"/>
    <w:rsid w:val="00B4533B"/>
    <w:rsid w:val="00B4770C"/>
    <w:rsid w:val="00B47B62"/>
    <w:rsid w:val="00B507A7"/>
    <w:rsid w:val="00B513E8"/>
    <w:rsid w:val="00B515CF"/>
    <w:rsid w:val="00B51EA5"/>
    <w:rsid w:val="00B51ECB"/>
    <w:rsid w:val="00B523E1"/>
    <w:rsid w:val="00B5278E"/>
    <w:rsid w:val="00B52D20"/>
    <w:rsid w:val="00B52E19"/>
    <w:rsid w:val="00B52E56"/>
    <w:rsid w:val="00B5306E"/>
    <w:rsid w:val="00B53117"/>
    <w:rsid w:val="00B53570"/>
    <w:rsid w:val="00B53DF1"/>
    <w:rsid w:val="00B54BFE"/>
    <w:rsid w:val="00B54C28"/>
    <w:rsid w:val="00B551C5"/>
    <w:rsid w:val="00B559D0"/>
    <w:rsid w:val="00B55F13"/>
    <w:rsid w:val="00B56ACA"/>
    <w:rsid w:val="00B574B6"/>
    <w:rsid w:val="00B57547"/>
    <w:rsid w:val="00B61315"/>
    <w:rsid w:val="00B62F5B"/>
    <w:rsid w:val="00B63478"/>
    <w:rsid w:val="00B64E8C"/>
    <w:rsid w:val="00B666A9"/>
    <w:rsid w:val="00B66B80"/>
    <w:rsid w:val="00B678A2"/>
    <w:rsid w:val="00B67DE0"/>
    <w:rsid w:val="00B70305"/>
    <w:rsid w:val="00B70D0C"/>
    <w:rsid w:val="00B7157A"/>
    <w:rsid w:val="00B718BC"/>
    <w:rsid w:val="00B71B03"/>
    <w:rsid w:val="00B71DD1"/>
    <w:rsid w:val="00B72B98"/>
    <w:rsid w:val="00B72C2A"/>
    <w:rsid w:val="00B72C3E"/>
    <w:rsid w:val="00B73977"/>
    <w:rsid w:val="00B744F2"/>
    <w:rsid w:val="00B757CE"/>
    <w:rsid w:val="00B75C01"/>
    <w:rsid w:val="00B7670D"/>
    <w:rsid w:val="00B7704D"/>
    <w:rsid w:val="00B77583"/>
    <w:rsid w:val="00B77ED2"/>
    <w:rsid w:val="00B8102E"/>
    <w:rsid w:val="00B81406"/>
    <w:rsid w:val="00B83039"/>
    <w:rsid w:val="00B839C0"/>
    <w:rsid w:val="00B83BDD"/>
    <w:rsid w:val="00B83E17"/>
    <w:rsid w:val="00B840DB"/>
    <w:rsid w:val="00B847A5"/>
    <w:rsid w:val="00B84FA8"/>
    <w:rsid w:val="00B86129"/>
    <w:rsid w:val="00B862FA"/>
    <w:rsid w:val="00B86597"/>
    <w:rsid w:val="00B86880"/>
    <w:rsid w:val="00B86D0C"/>
    <w:rsid w:val="00B87177"/>
    <w:rsid w:val="00B87479"/>
    <w:rsid w:val="00B87B0F"/>
    <w:rsid w:val="00B87C64"/>
    <w:rsid w:val="00B907EA"/>
    <w:rsid w:val="00B90A03"/>
    <w:rsid w:val="00B91326"/>
    <w:rsid w:val="00B91CEF"/>
    <w:rsid w:val="00B9210F"/>
    <w:rsid w:val="00B92332"/>
    <w:rsid w:val="00B92E09"/>
    <w:rsid w:val="00B93638"/>
    <w:rsid w:val="00B97302"/>
    <w:rsid w:val="00B97469"/>
    <w:rsid w:val="00B97AFD"/>
    <w:rsid w:val="00BA05C4"/>
    <w:rsid w:val="00BA0949"/>
    <w:rsid w:val="00BA0F12"/>
    <w:rsid w:val="00BA103E"/>
    <w:rsid w:val="00BA1130"/>
    <w:rsid w:val="00BA12A2"/>
    <w:rsid w:val="00BA1C2C"/>
    <w:rsid w:val="00BA1D03"/>
    <w:rsid w:val="00BA2505"/>
    <w:rsid w:val="00BA2865"/>
    <w:rsid w:val="00BA4FCA"/>
    <w:rsid w:val="00BA6580"/>
    <w:rsid w:val="00BA6DDA"/>
    <w:rsid w:val="00BA6E6D"/>
    <w:rsid w:val="00BA7034"/>
    <w:rsid w:val="00BA7748"/>
    <w:rsid w:val="00BA78CA"/>
    <w:rsid w:val="00BA7ED9"/>
    <w:rsid w:val="00BB1188"/>
    <w:rsid w:val="00BB1555"/>
    <w:rsid w:val="00BB16BF"/>
    <w:rsid w:val="00BB183D"/>
    <w:rsid w:val="00BB1C25"/>
    <w:rsid w:val="00BB1CC9"/>
    <w:rsid w:val="00BB31CF"/>
    <w:rsid w:val="00BB31F0"/>
    <w:rsid w:val="00BB3D00"/>
    <w:rsid w:val="00BB43AB"/>
    <w:rsid w:val="00BB465A"/>
    <w:rsid w:val="00BB49D3"/>
    <w:rsid w:val="00BB5B8D"/>
    <w:rsid w:val="00BB5D69"/>
    <w:rsid w:val="00BB685B"/>
    <w:rsid w:val="00BB6BA6"/>
    <w:rsid w:val="00BB7312"/>
    <w:rsid w:val="00BB7CD1"/>
    <w:rsid w:val="00BC020E"/>
    <w:rsid w:val="00BC0356"/>
    <w:rsid w:val="00BC0E3C"/>
    <w:rsid w:val="00BC2291"/>
    <w:rsid w:val="00BC2BFA"/>
    <w:rsid w:val="00BC2D3D"/>
    <w:rsid w:val="00BC306F"/>
    <w:rsid w:val="00BC389B"/>
    <w:rsid w:val="00BC3D9A"/>
    <w:rsid w:val="00BC429E"/>
    <w:rsid w:val="00BC4937"/>
    <w:rsid w:val="00BC4F6F"/>
    <w:rsid w:val="00BC51A3"/>
    <w:rsid w:val="00BC61AB"/>
    <w:rsid w:val="00BC6ACE"/>
    <w:rsid w:val="00BC6E2F"/>
    <w:rsid w:val="00BC78AF"/>
    <w:rsid w:val="00BD00BA"/>
    <w:rsid w:val="00BD01E4"/>
    <w:rsid w:val="00BD07A5"/>
    <w:rsid w:val="00BD080A"/>
    <w:rsid w:val="00BD0DF6"/>
    <w:rsid w:val="00BD1D6C"/>
    <w:rsid w:val="00BD2636"/>
    <w:rsid w:val="00BD2D7E"/>
    <w:rsid w:val="00BD3D13"/>
    <w:rsid w:val="00BD4101"/>
    <w:rsid w:val="00BD4706"/>
    <w:rsid w:val="00BD5430"/>
    <w:rsid w:val="00BD6A86"/>
    <w:rsid w:val="00BD71B3"/>
    <w:rsid w:val="00BD7B27"/>
    <w:rsid w:val="00BE0F51"/>
    <w:rsid w:val="00BE2A10"/>
    <w:rsid w:val="00BE2B78"/>
    <w:rsid w:val="00BE4529"/>
    <w:rsid w:val="00BE4B51"/>
    <w:rsid w:val="00BE6259"/>
    <w:rsid w:val="00BE6A23"/>
    <w:rsid w:val="00BE72FE"/>
    <w:rsid w:val="00BE7367"/>
    <w:rsid w:val="00BE7B4D"/>
    <w:rsid w:val="00BF0DD1"/>
    <w:rsid w:val="00BF1568"/>
    <w:rsid w:val="00BF25C6"/>
    <w:rsid w:val="00BF37B7"/>
    <w:rsid w:val="00BF434D"/>
    <w:rsid w:val="00BF474F"/>
    <w:rsid w:val="00BF4B25"/>
    <w:rsid w:val="00BF761E"/>
    <w:rsid w:val="00C00599"/>
    <w:rsid w:val="00C00862"/>
    <w:rsid w:val="00C009EA"/>
    <w:rsid w:val="00C00AF6"/>
    <w:rsid w:val="00C00C27"/>
    <w:rsid w:val="00C01176"/>
    <w:rsid w:val="00C0197D"/>
    <w:rsid w:val="00C01F3B"/>
    <w:rsid w:val="00C0267B"/>
    <w:rsid w:val="00C02C43"/>
    <w:rsid w:val="00C03702"/>
    <w:rsid w:val="00C03D52"/>
    <w:rsid w:val="00C04B07"/>
    <w:rsid w:val="00C055EB"/>
    <w:rsid w:val="00C05834"/>
    <w:rsid w:val="00C062A1"/>
    <w:rsid w:val="00C070B9"/>
    <w:rsid w:val="00C07D70"/>
    <w:rsid w:val="00C11C2D"/>
    <w:rsid w:val="00C11CEC"/>
    <w:rsid w:val="00C130A1"/>
    <w:rsid w:val="00C13100"/>
    <w:rsid w:val="00C1350C"/>
    <w:rsid w:val="00C1380F"/>
    <w:rsid w:val="00C13DE6"/>
    <w:rsid w:val="00C146B2"/>
    <w:rsid w:val="00C14943"/>
    <w:rsid w:val="00C1696A"/>
    <w:rsid w:val="00C16D3B"/>
    <w:rsid w:val="00C20523"/>
    <w:rsid w:val="00C21084"/>
    <w:rsid w:val="00C21C81"/>
    <w:rsid w:val="00C2285E"/>
    <w:rsid w:val="00C22C60"/>
    <w:rsid w:val="00C241F1"/>
    <w:rsid w:val="00C24637"/>
    <w:rsid w:val="00C24D4B"/>
    <w:rsid w:val="00C2535E"/>
    <w:rsid w:val="00C25993"/>
    <w:rsid w:val="00C2656E"/>
    <w:rsid w:val="00C26978"/>
    <w:rsid w:val="00C27029"/>
    <w:rsid w:val="00C27138"/>
    <w:rsid w:val="00C27872"/>
    <w:rsid w:val="00C3092E"/>
    <w:rsid w:val="00C30C1D"/>
    <w:rsid w:val="00C30EE3"/>
    <w:rsid w:val="00C30FC2"/>
    <w:rsid w:val="00C314C2"/>
    <w:rsid w:val="00C323FD"/>
    <w:rsid w:val="00C32A67"/>
    <w:rsid w:val="00C330D5"/>
    <w:rsid w:val="00C34BB7"/>
    <w:rsid w:val="00C35000"/>
    <w:rsid w:val="00C359E3"/>
    <w:rsid w:val="00C35FFA"/>
    <w:rsid w:val="00C368A2"/>
    <w:rsid w:val="00C36ADC"/>
    <w:rsid w:val="00C36BB4"/>
    <w:rsid w:val="00C37C4C"/>
    <w:rsid w:val="00C37CA3"/>
    <w:rsid w:val="00C37F14"/>
    <w:rsid w:val="00C4039D"/>
    <w:rsid w:val="00C406E8"/>
    <w:rsid w:val="00C40B23"/>
    <w:rsid w:val="00C412BE"/>
    <w:rsid w:val="00C41F25"/>
    <w:rsid w:val="00C42246"/>
    <w:rsid w:val="00C42326"/>
    <w:rsid w:val="00C42884"/>
    <w:rsid w:val="00C42F13"/>
    <w:rsid w:val="00C4370B"/>
    <w:rsid w:val="00C437A4"/>
    <w:rsid w:val="00C439FA"/>
    <w:rsid w:val="00C441A0"/>
    <w:rsid w:val="00C4481B"/>
    <w:rsid w:val="00C44821"/>
    <w:rsid w:val="00C46764"/>
    <w:rsid w:val="00C47040"/>
    <w:rsid w:val="00C47EEE"/>
    <w:rsid w:val="00C506F9"/>
    <w:rsid w:val="00C507BD"/>
    <w:rsid w:val="00C50C18"/>
    <w:rsid w:val="00C527C9"/>
    <w:rsid w:val="00C54F77"/>
    <w:rsid w:val="00C55458"/>
    <w:rsid w:val="00C55999"/>
    <w:rsid w:val="00C5698B"/>
    <w:rsid w:val="00C56B43"/>
    <w:rsid w:val="00C578B1"/>
    <w:rsid w:val="00C57F68"/>
    <w:rsid w:val="00C60042"/>
    <w:rsid w:val="00C60220"/>
    <w:rsid w:val="00C612DF"/>
    <w:rsid w:val="00C626F4"/>
    <w:rsid w:val="00C63218"/>
    <w:rsid w:val="00C6448B"/>
    <w:rsid w:val="00C665A5"/>
    <w:rsid w:val="00C66E06"/>
    <w:rsid w:val="00C66E4F"/>
    <w:rsid w:val="00C66F5B"/>
    <w:rsid w:val="00C677B6"/>
    <w:rsid w:val="00C67BF4"/>
    <w:rsid w:val="00C70AD5"/>
    <w:rsid w:val="00C710DF"/>
    <w:rsid w:val="00C723B5"/>
    <w:rsid w:val="00C7375F"/>
    <w:rsid w:val="00C73CCF"/>
    <w:rsid w:val="00C74127"/>
    <w:rsid w:val="00C744AB"/>
    <w:rsid w:val="00C7470B"/>
    <w:rsid w:val="00C75CDD"/>
    <w:rsid w:val="00C76D05"/>
    <w:rsid w:val="00C77CAB"/>
    <w:rsid w:val="00C814EE"/>
    <w:rsid w:val="00C816D3"/>
    <w:rsid w:val="00C81D83"/>
    <w:rsid w:val="00C82166"/>
    <w:rsid w:val="00C8337F"/>
    <w:rsid w:val="00C83CA2"/>
    <w:rsid w:val="00C849E1"/>
    <w:rsid w:val="00C85CD0"/>
    <w:rsid w:val="00C85F48"/>
    <w:rsid w:val="00C85FBC"/>
    <w:rsid w:val="00C8606E"/>
    <w:rsid w:val="00C86E1C"/>
    <w:rsid w:val="00C87509"/>
    <w:rsid w:val="00C87627"/>
    <w:rsid w:val="00C90BCD"/>
    <w:rsid w:val="00C91277"/>
    <w:rsid w:val="00C91F63"/>
    <w:rsid w:val="00C92326"/>
    <w:rsid w:val="00C93115"/>
    <w:rsid w:val="00C933DE"/>
    <w:rsid w:val="00C935CA"/>
    <w:rsid w:val="00C93DF9"/>
    <w:rsid w:val="00C946F6"/>
    <w:rsid w:val="00C94818"/>
    <w:rsid w:val="00C95007"/>
    <w:rsid w:val="00C957F9"/>
    <w:rsid w:val="00C9742F"/>
    <w:rsid w:val="00C9780F"/>
    <w:rsid w:val="00C97AAA"/>
    <w:rsid w:val="00CA0421"/>
    <w:rsid w:val="00CA09FB"/>
    <w:rsid w:val="00CA1916"/>
    <w:rsid w:val="00CA1AA8"/>
    <w:rsid w:val="00CA36DA"/>
    <w:rsid w:val="00CA54AF"/>
    <w:rsid w:val="00CA554F"/>
    <w:rsid w:val="00CA5E71"/>
    <w:rsid w:val="00CA622A"/>
    <w:rsid w:val="00CB05F0"/>
    <w:rsid w:val="00CB088D"/>
    <w:rsid w:val="00CB284C"/>
    <w:rsid w:val="00CB3132"/>
    <w:rsid w:val="00CB46D2"/>
    <w:rsid w:val="00CB53D0"/>
    <w:rsid w:val="00CB5C84"/>
    <w:rsid w:val="00CB6190"/>
    <w:rsid w:val="00CB6BEC"/>
    <w:rsid w:val="00CB6BFE"/>
    <w:rsid w:val="00CB7EBB"/>
    <w:rsid w:val="00CC004F"/>
    <w:rsid w:val="00CC07B5"/>
    <w:rsid w:val="00CC11AA"/>
    <w:rsid w:val="00CC1DBF"/>
    <w:rsid w:val="00CC2270"/>
    <w:rsid w:val="00CC3EEC"/>
    <w:rsid w:val="00CC4BCC"/>
    <w:rsid w:val="00CC4BDA"/>
    <w:rsid w:val="00CC62A8"/>
    <w:rsid w:val="00CC65EA"/>
    <w:rsid w:val="00CC69D0"/>
    <w:rsid w:val="00CD0DFB"/>
    <w:rsid w:val="00CD17B0"/>
    <w:rsid w:val="00CD18E8"/>
    <w:rsid w:val="00CD1A75"/>
    <w:rsid w:val="00CD1A9B"/>
    <w:rsid w:val="00CD1CF6"/>
    <w:rsid w:val="00CD1DE0"/>
    <w:rsid w:val="00CD1DFF"/>
    <w:rsid w:val="00CD3128"/>
    <w:rsid w:val="00CD38B0"/>
    <w:rsid w:val="00CD501E"/>
    <w:rsid w:val="00CD5445"/>
    <w:rsid w:val="00CD57DF"/>
    <w:rsid w:val="00CD5801"/>
    <w:rsid w:val="00CD5985"/>
    <w:rsid w:val="00CD59D1"/>
    <w:rsid w:val="00CD5BD8"/>
    <w:rsid w:val="00CD6BFF"/>
    <w:rsid w:val="00CD6E7B"/>
    <w:rsid w:val="00CD750F"/>
    <w:rsid w:val="00CD797F"/>
    <w:rsid w:val="00CE008A"/>
    <w:rsid w:val="00CE02FF"/>
    <w:rsid w:val="00CE0ED8"/>
    <w:rsid w:val="00CE147D"/>
    <w:rsid w:val="00CE14B8"/>
    <w:rsid w:val="00CE1EE6"/>
    <w:rsid w:val="00CE1F80"/>
    <w:rsid w:val="00CE330D"/>
    <w:rsid w:val="00CE4B78"/>
    <w:rsid w:val="00CE638E"/>
    <w:rsid w:val="00CE680F"/>
    <w:rsid w:val="00CE6FC1"/>
    <w:rsid w:val="00CE7055"/>
    <w:rsid w:val="00CE716A"/>
    <w:rsid w:val="00CE7225"/>
    <w:rsid w:val="00CE7CCC"/>
    <w:rsid w:val="00CF05CF"/>
    <w:rsid w:val="00CF0F41"/>
    <w:rsid w:val="00CF1651"/>
    <w:rsid w:val="00CF290E"/>
    <w:rsid w:val="00CF41A9"/>
    <w:rsid w:val="00CF49B4"/>
    <w:rsid w:val="00CF4C60"/>
    <w:rsid w:val="00CF52BE"/>
    <w:rsid w:val="00CF5E52"/>
    <w:rsid w:val="00CF6E7F"/>
    <w:rsid w:val="00D027CC"/>
    <w:rsid w:val="00D02EC2"/>
    <w:rsid w:val="00D03318"/>
    <w:rsid w:val="00D037FE"/>
    <w:rsid w:val="00D0397E"/>
    <w:rsid w:val="00D03D43"/>
    <w:rsid w:val="00D047F1"/>
    <w:rsid w:val="00D04A21"/>
    <w:rsid w:val="00D05B9A"/>
    <w:rsid w:val="00D063F6"/>
    <w:rsid w:val="00D06571"/>
    <w:rsid w:val="00D068C8"/>
    <w:rsid w:val="00D06AE8"/>
    <w:rsid w:val="00D0709B"/>
    <w:rsid w:val="00D07113"/>
    <w:rsid w:val="00D075CA"/>
    <w:rsid w:val="00D07AB5"/>
    <w:rsid w:val="00D07EED"/>
    <w:rsid w:val="00D100FB"/>
    <w:rsid w:val="00D10837"/>
    <w:rsid w:val="00D10912"/>
    <w:rsid w:val="00D11091"/>
    <w:rsid w:val="00D112EC"/>
    <w:rsid w:val="00D11B07"/>
    <w:rsid w:val="00D121C6"/>
    <w:rsid w:val="00D12DBA"/>
    <w:rsid w:val="00D12DD3"/>
    <w:rsid w:val="00D12E6F"/>
    <w:rsid w:val="00D13171"/>
    <w:rsid w:val="00D13828"/>
    <w:rsid w:val="00D138DA"/>
    <w:rsid w:val="00D14825"/>
    <w:rsid w:val="00D14AF3"/>
    <w:rsid w:val="00D14B29"/>
    <w:rsid w:val="00D14CA1"/>
    <w:rsid w:val="00D1506A"/>
    <w:rsid w:val="00D150E1"/>
    <w:rsid w:val="00D15988"/>
    <w:rsid w:val="00D16ED9"/>
    <w:rsid w:val="00D17968"/>
    <w:rsid w:val="00D17BC6"/>
    <w:rsid w:val="00D201F3"/>
    <w:rsid w:val="00D20DB8"/>
    <w:rsid w:val="00D2136D"/>
    <w:rsid w:val="00D23D28"/>
    <w:rsid w:val="00D240DD"/>
    <w:rsid w:val="00D25120"/>
    <w:rsid w:val="00D25BF0"/>
    <w:rsid w:val="00D25D72"/>
    <w:rsid w:val="00D2684F"/>
    <w:rsid w:val="00D269B6"/>
    <w:rsid w:val="00D26D81"/>
    <w:rsid w:val="00D26E64"/>
    <w:rsid w:val="00D26F57"/>
    <w:rsid w:val="00D27196"/>
    <w:rsid w:val="00D27637"/>
    <w:rsid w:val="00D278F3"/>
    <w:rsid w:val="00D306DB"/>
    <w:rsid w:val="00D31939"/>
    <w:rsid w:val="00D3232A"/>
    <w:rsid w:val="00D325FC"/>
    <w:rsid w:val="00D3282C"/>
    <w:rsid w:val="00D33BAD"/>
    <w:rsid w:val="00D34379"/>
    <w:rsid w:val="00D37176"/>
    <w:rsid w:val="00D371F1"/>
    <w:rsid w:val="00D40F04"/>
    <w:rsid w:val="00D41E3D"/>
    <w:rsid w:val="00D4201B"/>
    <w:rsid w:val="00D4230B"/>
    <w:rsid w:val="00D43173"/>
    <w:rsid w:val="00D44A20"/>
    <w:rsid w:val="00D44D46"/>
    <w:rsid w:val="00D475FE"/>
    <w:rsid w:val="00D543BF"/>
    <w:rsid w:val="00D54578"/>
    <w:rsid w:val="00D55137"/>
    <w:rsid w:val="00D552BF"/>
    <w:rsid w:val="00D554C7"/>
    <w:rsid w:val="00D55810"/>
    <w:rsid w:val="00D56786"/>
    <w:rsid w:val="00D56D94"/>
    <w:rsid w:val="00D5748C"/>
    <w:rsid w:val="00D57612"/>
    <w:rsid w:val="00D5767D"/>
    <w:rsid w:val="00D6121E"/>
    <w:rsid w:val="00D624D5"/>
    <w:rsid w:val="00D63D27"/>
    <w:rsid w:val="00D64A91"/>
    <w:rsid w:val="00D66D55"/>
    <w:rsid w:val="00D67213"/>
    <w:rsid w:val="00D676F1"/>
    <w:rsid w:val="00D67C6E"/>
    <w:rsid w:val="00D706C8"/>
    <w:rsid w:val="00D716EF"/>
    <w:rsid w:val="00D71F56"/>
    <w:rsid w:val="00D72CA0"/>
    <w:rsid w:val="00D73AA6"/>
    <w:rsid w:val="00D746EF"/>
    <w:rsid w:val="00D7664C"/>
    <w:rsid w:val="00D771C7"/>
    <w:rsid w:val="00D77F78"/>
    <w:rsid w:val="00D801F6"/>
    <w:rsid w:val="00D80427"/>
    <w:rsid w:val="00D81A89"/>
    <w:rsid w:val="00D81CE0"/>
    <w:rsid w:val="00D82C66"/>
    <w:rsid w:val="00D83077"/>
    <w:rsid w:val="00D8338C"/>
    <w:rsid w:val="00D83D6B"/>
    <w:rsid w:val="00D83E7B"/>
    <w:rsid w:val="00D85DC3"/>
    <w:rsid w:val="00D870CF"/>
    <w:rsid w:val="00D878C0"/>
    <w:rsid w:val="00D9000D"/>
    <w:rsid w:val="00D90AC4"/>
    <w:rsid w:val="00D90D13"/>
    <w:rsid w:val="00D90FF7"/>
    <w:rsid w:val="00D91DB2"/>
    <w:rsid w:val="00D91DFD"/>
    <w:rsid w:val="00D91E59"/>
    <w:rsid w:val="00D92760"/>
    <w:rsid w:val="00D92B92"/>
    <w:rsid w:val="00D941E2"/>
    <w:rsid w:val="00D94353"/>
    <w:rsid w:val="00D948E4"/>
    <w:rsid w:val="00D95B4C"/>
    <w:rsid w:val="00D95ED1"/>
    <w:rsid w:val="00D9681F"/>
    <w:rsid w:val="00DA0127"/>
    <w:rsid w:val="00DA068E"/>
    <w:rsid w:val="00DA0AD2"/>
    <w:rsid w:val="00DA0D45"/>
    <w:rsid w:val="00DA0FE7"/>
    <w:rsid w:val="00DA11D6"/>
    <w:rsid w:val="00DA1D52"/>
    <w:rsid w:val="00DA1FE9"/>
    <w:rsid w:val="00DA2895"/>
    <w:rsid w:val="00DA302E"/>
    <w:rsid w:val="00DA50B7"/>
    <w:rsid w:val="00DA55AA"/>
    <w:rsid w:val="00DA5F80"/>
    <w:rsid w:val="00DA6148"/>
    <w:rsid w:val="00DA622E"/>
    <w:rsid w:val="00DB089B"/>
    <w:rsid w:val="00DB0A8D"/>
    <w:rsid w:val="00DB1CA4"/>
    <w:rsid w:val="00DB2EF3"/>
    <w:rsid w:val="00DB31E6"/>
    <w:rsid w:val="00DB3419"/>
    <w:rsid w:val="00DB3753"/>
    <w:rsid w:val="00DB4371"/>
    <w:rsid w:val="00DB438E"/>
    <w:rsid w:val="00DB47AB"/>
    <w:rsid w:val="00DB490C"/>
    <w:rsid w:val="00DB5835"/>
    <w:rsid w:val="00DB5C23"/>
    <w:rsid w:val="00DB5D00"/>
    <w:rsid w:val="00DB77E7"/>
    <w:rsid w:val="00DB7AEC"/>
    <w:rsid w:val="00DB7E08"/>
    <w:rsid w:val="00DC02CB"/>
    <w:rsid w:val="00DC1765"/>
    <w:rsid w:val="00DC1B22"/>
    <w:rsid w:val="00DC2684"/>
    <w:rsid w:val="00DC2B00"/>
    <w:rsid w:val="00DC3A09"/>
    <w:rsid w:val="00DC459A"/>
    <w:rsid w:val="00DC62C3"/>
    <w:rsid w:val="00DC6487"/>
    <w:rsid w:val="00DC64CB"/>
    <w:rsid w:val="00DD0314"/>
    <w:rsid w:val="00DD10DE"/>
    <w:rsid w:val="00DD134F"/>
    <w:rsid w:val="00DD160E"/>
    <w:rsid w:val="00DD1E7F"/>
    <w:rsid w:val="00DD35D2"/>
    <w:rsid w:val="00DD4748"/>
    <w:rsid w:val="00DD498E"/>
    <w:rsid w:val="00DD52EE"/>
    <w:rsid w:val="00DD5EF4"/>
    <w:rsid w:val="00DD6F3B"/>
    <w:rsid w:val="00DD7CE1"/>
    <w:rsid w:val="00DE045C"/>
    <w:rsid w:val="00DE0475"/>
    <w:rsid w:val="00DE0830"/>
    <w:rsid w:val="00DE0CAF"/>
    <w:rsid w:val="00DE11EE"/>
    <w:rsid w:val="00DE15A9"/>
    <w:rsid w:val="00DE182E"/>
    <w:rsid w:val="00DE282E"/>
    <w:rsid w:val="00DE4012"/>
    <w:rsid w:val="00DE4442"/>
    <w:rsid w:val="00DE47C4"/>
    <w:rsid w:val="00DE67C5"/>
    <w:rsid w:val="00DE68B6"/>
    <w:rsid w:val="00DE7210"/>
    <w:rsid w:val="00DF07D1"/>
    <w:rsid w:val="00DF0CC0"/>
    <w:rsid w:val="00DF10DE"/>
    <w:rsid w:val="00DF12F7"/>
    <w:rsid w:val="00DF15FA"/>
    <w:rsid w:val="00DF1B47"/>
    <w:rsid w:val="00DF1C62"/>
    <w:rsid w:val="00DF1E98"/>
    <w:rsid w:val="00DF2021"/>
    <w:rsid w:val="00DF246C"/>
    <w:rsid w:val="00DF29A7"/>
    <w:rsid w:val="00DF3B82"/>
    <w:rsid w:val="00DF448E"/>
    <w:rsid w:val="00DF4530"/>
    <w:rsid w:val="00DF4795"/>
    <w:rsid w:val="00DF5742"/>
    <w:rsid w:val="00DF5FB1"/>
    <w:rsid w:val="00DF60FB"/>
    <w:rsid w:val="00DF64AC"/>
    <w:rsid w:val="00DF7835"/>
    <w:rsid w:val="00DF7E4E"/>
    <w:rsid w:val="00E00421"/>
    <w:rsid w:val="00E0071A"/>
    <w:rsid w:val="00E00B1D"/>
    <w:rsid w:val="00E00C26"/>
    <w:rsid w:val="00E0179D"/>
    <w:rsid w:val="00E017D2"/>
    <w:rsid w:val="00E029A8"/>
    <w:rsid w:val="00E03F82"/>
    <w:rsid w:val="00E0516E"/>
    <w:rsid w:val="00E052DB"/>
    <w:rsid w:val="00E05F2C"/>
    <w:rsid w:val="00E067C8"/>
    <w:rsid w:val="00E0789F"/>
    <w:rsid w:val="00E07A08"/>
    <w:rsid w:val="00E07F77"/>
    <w:rsid w:val="00E1044B"/>
    <w:rsid w:val="00E10D2E"/>
    <w:rsid w:val="00E117DA"/>
    <w:rsid w:val="00E12CD4"/>
    <w:rsid w:val="00E12F8F"/>
    <w:rsid w:val="00E13919"/>
    <w:rsid w:val="00E13A2D"/>
    <w:rsid w:val="00E144D1"/>
    <w:rsid w:val="00E157FA"/>
    <w:rsid w:val="00E16272"/>
    <w:rsid w:val="00E16321"/>
    <w:rsid w:val="00E16C2D"/>
    <w:rsid w:val="00E17BAF"/>
    <w:rsid w:val="00E2088F"/>
    <w:rsid w:val="00E2109B"/>
    <w:rsid w:val="00E2177A"/>
    <w:rsid w:val="00E23173"/>
    <w:rsid w:val="00E23301"/>
    <w:rsid w:val="00E236A4"/>
    <w:rsid w:val="00E23B37"/>
    <w:rsid w:val="00E23EEB"/>
    <w:rsid w:val="00E25007"/>
    <w:rsid w:val="00E2544F"/>
    <w:rsid w:val="00E25BAF"/>
    <w:rsid w:val="00E26209"/>
    <w:rsid w:val="00E2655F"/>
    <w:rsid w:val="00E268B2"/>
    <w:rsid w:val="00E308AE"/>
    <w:rsid w:val="00E3119F"/>
    <w:rsid w:val="00E3167E"/>
    <w:rsid w:val="00E31892"/>
    <w:rsid w:val="00E319DE"/>
    <w:rsid w:val="00E31E9C"/>
    <w:rsid w:val="00E32077"/>
    <w:rsid w:val="00E321BD"/>
    <w:rsid w:val="00E326F4"/>
    <w:rsid w:val="00E3291C"/>
    <w:rsid w:val="00E34911"/>
    <w:rsid w:val="00E357C0"/>
    <w:rsid w:val="00E3593B"/>
    <w:rsid w:val="00E35972"/>
    <w:rsid w:val="00E35D2B"/>
    <w:rsid w:val="00E37702"/>
    <w:rsid w:val="00E37F8A"/>
    <w:rsid w:val="00E40279"/>
    <w:rsid w:val="00E40C17"/>
    <w:rsid w:val="00E4132B"/>
    <w:rsid w:val="00E4281A"/>
    <w:rsid w:val="00E43881"/>
    <w:rsid w:val="00E43B59"/>
    <w:rsid w:val="00E45BAC"/>
    <w:rsid w:val="00E45BF2"/>
    <w:rsid w:val="00E45D82"/>
    <w:rsid w:val="00E464D3"/>
    <w:rsid w:val="00E47005"/>
    <w:rsid w:val="00E479DB"/>
    <w:rsid w:val="00E506A9"/>
    <w:rsid w:val="00E50E8A"/>
    <w:rsid w:val="00E51043"/>
    <w:rsid w:val="00E5183C"/>
    <w:rsid w:val="00E51868"/>
    <w:rsid w:val="00E524BF"/>
    <w:rsid w:val="00E529E3"/>
    <w:rsid w:val="00E52B49"/>
    <w:rsid w:val="00E53D07"/>
    <w:rsid w:val="00E53FF3"/>
    <w:rsid w:val="00E549DC"/>
    <w:rsid w:val="00E555C1"/>
    <w:rsid w:val="00E600DB"/>
    <w:rsid w:val="00E60A35"/>
    <w:rsid w:val="00E62B51"/>
    <w:rsid w:val="00E62C6B"/>
    <w:rsid w:val="00E65B01"/>
    <w:rsid w:val="00E65CB2"/>
    <w:rsid w:val="00E65E07"/>
    <w:rsid w:val="00E6659C"/>
    <w:rsid w:val="00E66F98"/>
    <w:rsid w:val="00E673D1"/>
    <w:rsid w:val="00E6795C"/>
    <w:rsid w:val="00E67B9D"/>
    <w:rsid w:val="00E67CD3"/>
    <w:rsid w:val="00E67DC4"/>
    <w:rsid w:val="00E71D92"/>
    <w:rsid w:val="00E71F89"/>
    <w:rsid w:val="00E72021"/>
    <w:rsid w:val="00E72642"/>
    <w:rsid w:val="00E727D6"/>
    <w:rsid w:val="00E7334A"/>
    <w:rsid w:val="00E733F3"/>
    <w:rsid w:val="00E73C78"/>
    <w:rsid w:val="00E744CF"/>
    <w:rsid w:val="00E747FB"/>
    <w:rsid w:val="00E7513C"/>
    <w:rsid w:val="00E75AF9"/>
    <w:rsid w:val="00E75DAF"/>
    <w:rsid w:val="00E768FC"/>
    <w:rsid w:val="00E77C84"/>
    <w:rsid w:val="00E809EF"/>
    <w:rsid w:val="00E8173D"/>
    <w:rsid w:val="00E81976"/>
    <w:rsid w:val="00E81A38"/>
    <w:rsid w:val="00E81C7D"/>
    <w:rsid w:val="00E820B8"/>
    <w:rsid w:val="00E83781"/>
    <w:rsid w:val="00E83CC4"/>
    <w:rsid w:val="00E8581E"/>
    <w:rsid w:val="00E858F3"/>
    <w:rsid w:val="00E87315"/>
    <w:rsid w:val="00E87363"/>
    <w:rsid w:val="00E87484"/>
    <w:rsid w:val="00E90CA7"/>
    <w:rsid w:val="00E918F8"/>
    <w:rsid w:val="00E92B49"/>
    <w:rsid w:val="00E92D3F"/>
    <w:rsid w:val="00E92EFB"/>
    <w:rsid w:val="00E9369E"/>
    <w:rsid w:val="00E94A3F"/>
    <w:rsid w:val="00E955DF"/>
    <w:rsid w:val="00E9609C"/>
    <w:rsid w:val="00E966EC"/>
    <w:rsid w:val="00E9675D"/>
    <w:rsid w:val="00E96A29"/>
    <w:rsid w:val="00E96BF3"/>
    <w:rsid w:val="00E97254"/>
    <w:rsid w:val="00E97B29"/>
    <w:rsid w:val="00EA0713"/>
    <w:rsid w:val="00EA0B9E"/>
    <w:rsid w:val="00EA1639"/>
    <w:rsid w:val="00EA18DB"/>
    <w:rsid w:val="00EA1AF4"/>
    <w:rsid w:val="00EA1AF6"/>
    <w:rsid w:val="00EA1C19"/>
    <w:rsid w:val="00EA1F0A"/>
    <w:rsid w:val="00EA25D6"/>
    <w:rsid w:val="00EA37F9"/>
    <w:rsid w:val="00EA3D24"/>
    <w:rsid w:val="00EA3E36"/>
    <w:rsid w:val="00EA42E2"/>
    <w:rsid w:val="00EA6557"/>
    <w:rsid w:val="00EA67CC"/>
    <w:rsid w:val="00EA6DD5"/>
    <w:rsid w:val="00EA719B"/>
    <w:rsid w:val="00EA7422"/>
    <w:rsid w:val="00EA7499"/>
    <w:rsid w:val="00EB009B"/>
    <w:rsid w:val="00EB024C"/>
    <w:rsid w:val="00EB047C"/>
    <w:rsid w:val="00EB0FDE"/>
    <w:rsid w:val="00EB1FEC"/>
    <w:rsid w:val="00EB2372"/>
    <w:rsid w:val="00EB3B20"/>
    <w:rsid w:val="00EB42F4"/>
    <w:rsid w:val="00EB43CD"/>
    <w:rsid w:val="00EB6198"/>
    <w:rsid w:val="00EB7E36"/>
    <w:rsid w:val="00EC05E6"/>
    <w:rsid w:val="00EC0706"/>
    <w:rsid w:val="00EC100A"/>
    <w:rsid w:val="00EC11E0"/>
    <w:rsid w:val="00EC1B86"/>
    <w:rsid w:val="00EC25ED"/>
    <w:rsid w:val="00EC2C8A"/>
    <w:rsid w:val="00EC2FEE"/>
    <w:rsid w:val="00EC3FC4"/>
    <w:rsid w:val="00EC4E2F"/>
    <w:rsid w:val="00EC66F6"/>
    <w:rsid w:val="00EC6EFD"/>
    <w:rsid w:val="00EC78C7"/>
    <w:rsid w:val="00ED095B"/>
    <w:rsid w:val="00ED1250"/>
    <w:rsid w:val="00ED16A7"/>
    <w:rsid w:val="00ED1948"/>
    <w:rsid w:val="00ED1CB2"/>
    <w:rsid w:val="00ED1CBB"/>
    <w:rsid w:val="00ED562C"/>
    <w:rsid w:val="00ED57E2"/>
    <w:rsid w:val="00ED5BF5"/>
    <w:rsid w:val="00ED5D1C"/>
    <w:rsid w:val="00ED638B"/>
    <w:rsid w:val="00ED6F1D"/>
    <w:rsid w:val="00EE0F6C"/>
    <w:rsid w:val="00EE1CF8"/>
    <w:rsid w:val="00EE2DFF"/>
    <w:rsid w:val="00EE322E"/>
    <w:rsid w:val="00EE34DA"/>
    <w:rsid w:val="00EE36B7"/>
    <w:rsid w:val="00EE3C14"/>
    <w:rsid w:val="00EE4149"/>
    <w:rsid w:val="00EE57A4"/>
    <w:rsid w:val="00EE62A2"/>
    <w:rsid w:val="00EE6C44"/>
    <w:rsid w:val="00EE7E1C"/>
    <w:rsid w:val="00EF13DD"/>
    <w:rsid w:val="00EF1C14"/>
    <w:rsid w:val="00EF1DD5"/>
    <w:rsid w:val="00EF2BD0"/>
    <w:rsid w:val="00EF36F6"/>
    <w:rsid w:val="00EF48ED"/>
    <w:rsid w:val="00EF4BF2"/>
    <w:rsid w:val="00EF5DD8"/>
    <w:rsid w:val="00EF5FBB"/>
    <w:rsid w:val="00EF64DB"/>
    <w:rsid w:val="00EF6771"/>
    <w:rsid w:val="00EF6E3B"/>
    <w:rsid w:val="00EF7721"/>
    <w:rsid w:val="00EF7DED"/>
    <w:rsid w:val="00EF7FD3"/>
    <w:rsid w:val="00F0075D"/>
    <w:rsid w:val="00F023DC"/>
    <w:rsid w:val="00F02AED"/>
    <w:rsid w:val="00F0331F"/>
    <w:rsid w:val="00F0378B"/>
    <w:rsid w:val="00F037FF"/>
    <w:rsid w:val="00F03FE6"/>
    <w:rsid w:val="00F053E9"/>
    <w:rsid w:val="00F07413"/>
    <w:rsid w:val="00F07E11"/>
    <w:rsid w:val="00F07F41"/>
    <w:rsid w:val="00F10875"/>
    <w:rsid w:val="00F10FE6"/>
    <w:rsid w:val="00F11313"/>
    <w:rsid w:val="00F115DF"/>
    <w:rsid w:val="00F12C66"/>
    <w:rsid w:val="00F13939"/>
    <w:rsid w:val="00F14168"/>
    <w:rsid w:val="00F147D2"/>
    <w:rsid w:val="00F1546E"/>
    <w:rsid w:val="00F16DB1"/>
    <w:rsid w:val="00F17B17"/>
    <w:rsid w:val="00F20B4B"/>
    <w:rsid w:val="00F21471"/>
    <w:rsid w:val="00F21C2B"/>
    <w:rsid w:val="00F22EFB"/>
    <w:rsid w:val="00F2326C"/>
    <w:rsid w:val="00F233E2"/>
    <w:rsid w:val="00F24213"/>
    <w:rsid w:val="00F245F9"/>
    <w:rsid w:val="00F249AD"/>
    <w:rsid w:val="00F252AC"/>
    <w:rsid w:val="00F256C6"/>
    <w:rsid w:val="00F26152"/>
    <w:rsid w:val="00F26DBD"/>
    <w:rsid w:val="00F276CA"/>
    <w:rsid w:val="00F3034A"/>
    <w:rsid w:val="00F305EA"/>
    <w:rsid w:val="00F30C2F"/>
    <w:rsid w:val="00F32CDF"/>
    <w:rsid w:val="00F336D1"/>
    <w:rsid w:val="00F33926"/>
    <w:rsid w:val="00F352EE"/>
    <w:rsid w:val="00F35923"/>
    <w:rsid w:val="00F35D9E"/>
    <w:rsid w:val="00F36238"/>
    <w:rsid w:val="00F36282"/>
    <w:rsid w:val="00F3629B"/>
    <w:rsid w:val="00F367B4"/>
    <w:rsid w:val="00F36D98"/>
    <w:rsid w:val="00F374A4"/>
    <w:rsid w:val="00F4012F"/>
    <w:rsid w:val="00F401F1"/>
    <w:rsid w:val="00F4051F"/>
    <w:rsid w:val="00F41BC9"/>
    <w:rsid w:val="00F41CED"/>
    <w:rsid w:val="00F42D54"/>
    <w:rsid w:val="00F42DAA"/>
    <w:rsid w:val="00F42F64"/>
    <w:rsid w:val="00F42FAE"/>
    <w:rsid w:val="00F43CD4"/>
    <w:rsid w:val="00F4440B"/>
    <w:rsid w:val="00F45205"/>
    <w:rsid w:val="00F456FE"/>
    <w:rsid w:val="00F45F68"/>
    <w:rsid w:val="00F46298"/>
    <w:rsid w:val="00F46A0D"/>
    <w:rsid w:val="00F476AB"/>
    <w:rsid w:val="00F50E8F"/>
    <w:rsid w:val="00F5119C"/>
    <w:rsid w:val="00F51956"/>
    <w:rsid w:val="00F53066"/>
    <w:rsid w:val="00F53560"/>
    <w:rsid w:val="00F54069"/>
    <w:rsid w:val="00F55119"/>
    <w:rsid w:val="00F555E7"/>
    <w:rsid w:val="00F55DD0"/>
    <w:rsid w:val="00F57694"/>
    <w:rsid w:val="00F57C41"/>
    <w:rsid w:val="00F61186"/>
    <w:rsid w:val="00F623D6"/>
    <w:rsid w:val="00F63725"/>
    <w:rsid w:val="00F63916"/>
    <w:rsid w:val="00F63F6B"/>
    <w:rsid w:val="00F6562C"/>
    <w:rsid w:val="00F656CE"/>
    <w:rsid w:val="00F6606F"/>
    <w:rsid w:val="00F66701"/>
    <w:rsid w:val="00F66BEA"/>
    <w:rsid w:val="00F66C97"/>
    <w:rsid w:val="00F7064C"/>
    <w:rsid w:val="00F70A1F"/>
    <w:rsid w:val="00F71038"/>
    <w:rsid w:val="00F7109E"/>
    <w:rsid w:val="00F7449B"/>
    <w:rsid w:val="00F74F1C"/>
    <w:rsid w:val="00F7511D"/>
    <w:rsid w:val="00F751D7"/>
    <w:rsid w:val="00F75940"/>
    <w:rsid w:val="00F765AF"/>
    <w:rsid w:val="00F76827"/>
    <w:rsid w:val="00F776EC"/>
    <w:rsid w:val="00F80105"/>
    <w:rsid w:val="00F805C5"/>
    <w:rsid w:val="00F80DF2"/>
    <w:rsid w:val="00F825BD"/>
    <w:rsid w:val="00F82859"/>
    <w:rsid w:val="00F85017"/>
    <w:rsid w:val="00F85AB8"/>
    <w:rsid w:val="00F85B3F"/>
    <w:rsid w:val="00F85F12"/>
    <w:rsid w:val="00F86018"/>
    <w:rsid w:val="00F86D17"/>
    <w:rsid w:val="00F87110"/>
    <w:rsid w:val="00F9065D"/>
    <w:rsid w:val="00F9095F"/>
    <w:rsid w:val="00F911B8"/>
    <w:rsid w:val="00F91694"/>
    <w:rsid w:val="00F9310D"/>
    <w:rsid w:val="00F9350C"/>
    <w:rsid w:val="00F93BA3"/>
    <w:rsid w:val="00F943C7"/>
    <w:rsid w:val="00F946B4"/>
    <w:rsid w:val="00F950C2"/>
    <w:rsid w:val="00F95E3D"/>
    <w:rsid w:val="00F968E8"/>
    <w:rsid w:val="00F9744C"/>
    <w:rsid w:val="00F9766C"/>
    <w:rsid w:val="00FA040C"/>
    <w:rsid w:val="00FA0987"/>
    <w:rsid w:val="00FA0DF7"/>
    <w:rsid w:val="00FA2023"/>
    <w:rsid w:val="00FA319A"/>
    <w:rsid w:val="00FA3287"/>
    <w:rsid w:val="00FA51AB"/>
    <w:rsid w:val="00FA51B0"/>
    <w:rsid w:val="00FA557D"/>
    <w:rsid w:val="00FA5B73"/>
    <w:rsid w:val="00FA5F4A"/>
    <w:rsid w:val="00FA683D"/>
    <w:rsid w:val="00FA6E55"/>
    <w:rsid w:val="00FA7A8B"/>
    <w:rsid w:val="00FA7CF6"/>
    <w:rsid w:val="00FB0077"/>
    <w:rsid w:val="00FB00EE"/>
    <w:rsid w:val="00FB0E7E"/>
    <w:rsid w:val="00FB2314"/>
    <w:rsid w:val="00FB31A1"/>
    <w:rsid w:val="00FB3EE0"/>
    <w:rsid w:val="00FB4085"/>
    <w:rsid w:val="00FB4CA1"/>
    <w:rsid w:val="00FB5370"/>
    <w:rsid w:val="00FB5616"/>
    <w:rsid w:val="00FB645A"/>
    <w:rsid w:val="00FB6D8C"/>
    <w:rsid w:val="00FB6E58"/>
    <w:rsid w:val="00FB6EDA"/>
    <w:rsid w:val="00FB7012"/>
    <w:rsid w:val="00FB747A"/>
    <w:rsid w:val="00FB77A1"/>
    <w:rsid w:val="00FC1B84"/>
    <w:rsid w:val="00FC1ECC"/>
    <w:rsid w:val="00FC1FE8"/>
    <w:rsid w:val="00FC3E72"/>
    <w:rsid w:val="00FC42E9"/>
    <w:rsid w:val="00FC5088"/>
    <w:rsid w:val="00FC5C78"/>
    <w:rsid w:val="00FC6F63"/>
    <w:rsid w:val="00FD1552"/>
    <w:rsid w:val="00FD183B"/>
    <w:rsid w:val="00FD193D"/>
    <w:rsid w:val="00FD2914"/>
    <w:rsid w:val="00FD2C78"/>
    <w:rsid w:val="00FD2EE6"/>
    <w:rsid w:val="00FD37F7"/>
    <w:rsid w:val="00FD57FF"/>
    <w:rsid w:val="00FD5A26"/>
    <w:rsid w:val="00FD6D9C"/>
    <w:rsid w:val="00FD711D"/>
    <w:rsid w:val="00FD77C3"/>
    <w:rsid w:val="00FD7E95"/>
    <w:rsid w:val="00FE0102"/>
    <w:rsid w:val="00FE0811"/>
    <w:rsid w:val="00FE089F"/>
    <w:rsid w:val="00FE182F"/>
    <w:rsid w:val="00FE24B0"/>
    <w:rsid w:val="00FE292C"/>
    <w:rsid w:val="00FE2BE7"/>
    <w:rsid w:val="00FE363F"/>
    <w:rsid w:val="00FE3C62"/>
    <w:rsid w:val="00FE3FFE"/>
    <w:rsid w:val="00FE4E33"/>
    <w:rsid w:val="00FE504D"/>
    <w:rsid w:val="00FE52A0"/>
    <w:rsid w:val="00FE5A95"/>
    <w:rsid w:val="00FE672B"/>
    <w:rsid w:val="00FF0C28"/>
    <w:rsid w:val="00FF3FCF"/>
    <w:rsid w:val="00FF4208"/>
    <w:rsid w:val="00FF5F00"/>
    <w:rsid w:val="00FF6742"/>
    <w:rsid w:val="00FF67BE"/>
    <w:rsid w:val="00FF6ADE"/>
    <w:rsid w:val="00FF766D"/>
    <w:rsid w:val="00FF7A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black"/>
    </o:shapedefaults>
    <o:shapelayout v:ext="edit">
      <o:idmap v:ext="edit" data="1"/>
    </o:shapelayout>
  </w:shapeDefaults>
  <w:decimalSymbol w:val=","/>
  <w:listSeparator w:val=";"/>
  <w14:docId w14:val="6E0D4F6B"/>
  <w15:docId w15:val="{63D7193E-C4C7-4956-AD9E-80D6B4A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4"/>
    <w:pPr>
      <w:jc w:val="both"/>
    </w:pPr>
    <w:rPr>
      <w:rFonts w:ascii="Arial" w:hAnsi="Arial"/>
    </w:rPr>
  </w:style>
  <w:style w:type="paragraph" w:styleId="Titre1">
    <w:name w:val="heading 1"/>
    <w:basedOn w:val="Normal"/>
    <w:next w:val="Normal"/>
    <w:link w:val="Titre1Car"/>
    <w:qFormat/>
    <w:rsid w:val="00B334BE"/>
    <w:pPr>
      <w:numPr>
        <w:numId w:val="3"/>
      </w:numPr>
      <w:outlineLvl w:val="0"/>
    </w:pPr>
    <w:rPr>
      <w:kern w:val="28"/>
      <w:u w:val="single"/>
    </w:rPr>
  </w:style>
  <w:style w:type="paragraph" w:styleId="Titre2">
    <w:name w:val="heading 2"/>
    <w:basedOn w:val="Normal"/>
    <w:next w:val="Corpsdetexte"/>
    <w:qFormat/>
    <w:rsid w:val="00B334BE"/>
    <w:pPr>
      <w:widowControl w:val="0"/>
      <w:numPr>
        <w:ilvl w:val="1"/>
        <w:numId w:val="3"/>
      </w:numPr>
      <w:spacing w:before="120"/>
      <w:outlineLvl w:val="1"/>
    </w:pPr>
    <w:rPr>
      <w:b/>
      <w:kern w:val="28"/>
      <w:sz w:val="28"/>
      <w:u w:val="single"/>
    </w:rPr>
  </w:style>
  <w:style w:type="paragraph" w:styleId="Titre3">
    <w:name w:val="heading 3"/>
    <w:basedOn w:val="Normal"/>
    <w:next w:val="Corpsdetexte"/>
    <w:qFormat/>
    <w:pPr>
      <w:widowControl w:val="0"/>
      <w:numPr>
        <w:ilvl w:val="2"/>
        <w:numId w:val="1"/>
      </w:numPr>
      <w:spacing w:before="240" w:after="20"/>
      <w:outlineLvl w:val="2"/>
    </w:pPr>
    <w:rPr>
      <w:b/>
      <w:kern w:val="28"/>
      <w:sz w:val="24"/>
    </w:rPr>
  </w:style>
  <w:style w:type="paragraph" w:styleId="Titre4">
    <w:name w:val="heading 4"/>
    <w:basedOn w:val="Normal"/>
    <w:next w:val="Corpsdetexte"/>
    <w:qFormat/>
    <w:pPr>
      <w:widowControl w:val="0"/>
      <w:numPr>
        <w:ilvl w:val="3"/>
        <w:numId w:val="1"/>
      </w:numPr>
      <w:spacing w:before="120" w:after="20"/>
      <w:outlineLvl w:val="3"/>
    </w:pPr>
    <w:rPr>
      <w:kern w:val="28"/>
      <w:sz w:val="24"/>
    </w:rPr>
  </w:style>
  <w:style w:type="paragraph" w:styleId="Titre5">
    <w:name w:val="heading 5"/>
    <w:basedOn w:val="Normal"/>
    <w:next w:val="Corpsdetexte"/>
    <w:qFormat/>
    <w:pPr>
      <w:widowControl w:val="0"/>
      <w:numPr>
        <w:ilvl w:val="4"/>
        <w:numId w:val="1"/>
      </w:numPr>
      <w:spacing w:before="120" w:after="20"/>
      <w:outlineLvl w:val="4"/>
    </w:pPr>
    <w:rPr>
      <w:kern w:val="28"/>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tyle>
  <w:style w:type="paragraph" w:customStyle="1" w:styleId="Tiret">
    <w:name w:val="Tiret"/>
    <w:basedOn w:val="Corpsdetexte"/>
    <w:pPr>
      <w:numPr>
        <w:numId w:val="2"/>
      </w:numPr>
    </w:pPr>
  </w:style>
  <w:style w:type="paragraph" w:styleId="En-tte">
    <w:name w:val="header"/>
    <w:basedOn w:val="Normal"/>
    <w:rsid w:val="007B2B1C"/>
    <w:pPr>
      <w:tabs>
        <w:tab w:val="center" w:pos="4536"/>
        <w:tab w:val="right" w:pos="9072"/>
      </w:tabs>
    </w:pPr>
  </w:style>
  <w:style w:type="character" w:styleId="Numrodepage">
    <w:name w:val="page number"/>
    <w:basedOn w:val="Policepardfaut"/>
    <w:rsid w:val="007B2B1C"/>
  </w:style>
  <w:style w:type="character" w:styleId="Lienhypertexte">
    <w:name w:val="Hyperlink"/>
    <w:rsid w:val="008B1CAF"/>
    <w:rPr>
      <w:u w:val="none"/>
    </w:rPr>
  </w:style>
  <w:style w:type="character" w:styleId="Lienhypertextesuivivisit">
    <w:name w:val="FollowedHyperlink"/>
    <w:rsid w:val="007647EF"/>
    <w:rPr>
      <w:color w:val="800080"/>
      <w:u w:val="single"/>
    </w:rPr>
  </w:style>
  <w:style w:type="character" w:styleId="lev">
    <w:name w:val="Strong"/>
    <w:qFormat/>
    <w:rsid w:val="00A64CD6"/>
    <w:rPr>
      <w:b/>
      <w:bCs/>
    </w:rPr>
  </w:style>
  <w:style w:type="paragraph" w:styleId="Explorateurdedocuments">
    <w:name w:val="Document Map"/>
    <w:basedOn w:val="Normal"/>
    <w:semiHidden/>
    <w:rsid w:val="007D3BCE"/>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3748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847"/>
    <w:rPr>
      <w:rFonts w:ascii="Segoe UI" w:hAnsi="Segoe UI" w:cs="Segoe UI"/>
      <w:sz w:val="18"/>
      <w:szCs w:val="18"/>
    </w:rPr>
  </w:style>
  <w:style w:type="character" w:customStyle="1" w:styleId="Titre1Car">
    <w:name w:val="Titre 1 Car"/>
    <w:basedOn w:val="Policepardfaut"/>
    <w:link w:val="Titre1"/>
    <w:rsid w:val="00250A3C"/>
    <w:rPr>
      <w:rFonts w:ascii="Arial" w:hAnsi="Arial"/>
      <w:kern w:val="28"/>
      <w:u w:val="single"/>
    </w:rPr>
  </w:style>
  <w:style w:type="character" w:styleId="Mentionnonrsolue">
    <w:name w:val="Unresolved Mention"/>
    <w:basedOn w:val="Policepardfaut"/>
    <w:uiPriority w:val="99"/>
    <w:semiHidden/>
    <w:unhideWhenUsed/>
    <w:rsid w:val="002C4D72"/>
    <w:rPr>
      <w:color w:val="605E5C"/>
      <w:shd w:val="clear" w:color="auto" w:fill="E1DFDD"/>
    </w:rPr>
  </w:style>
  <w:style w:type="paragraph" w:styleId="Paragraphedeliste">
    <w:name w:val="List Paragraph"/>
    <w:basedOn w:val="Normal"/>
    <w:uiPriority w:val="34"/>
    <w:qFormat/>
    <w:rsid w:val="004D2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gedd.developpement-durable.gouv.fr/IMG/pdf/Nombre-montant-ventes-depuis-1967_cle0c5f3e.pdf" TargetMode="External"/><Relationship Id="rId21" Type="http://schemas.openxmlformats.org/officeDocument/2006/relationships/hyperlink" Target="http://www.cgedd.developpement-durable.gouv.fr/comment-recevoir-les-annonces-des-a1047.html" TargetMode="External"/><Relationship Id="rId42" Type="http://schemas.openxmlformats.org/officeDocument/2006/relationships/image" Target="media/image9.emf"/><Relationship Id="rId47" Type="http://schemas.openxmlformats.org/officeDocument/2006/relationships/image" Target="media/image12.emf"/><Relationship Id="rId63" Type="http://schemas.openxmlformats.org/officeDocument/2006/relationships/hyperlink" Target="http://www.statistiques.developpement-durable.gouv.fr/theme/logement-construction/sous-theme/logements.html" TargetMode="External"/><Relationship Id="rId68" Type="http://schemas.openxmlformats.org/officeDocument/2006/relationships/hyperlink" Target="http://www.cgedd.developpement-durable.gouv.fr/prix-immobilier-evolution-a-long-terme-a1048.html" TargetMode="External"/><Relationship Id="rId84" Type="http://schemas.openxmlformats.org/officeDocument/2006/relationships/hyperlink" Target="http://www.insee.fr/fr/ppp/sommaire/imet111.htm" TargetMode="External"/><Relationship Id="rId89" Type="http://schemas.openxmlformats.org/officeDocument/2006/relationships/hyperlink" Target="http://www.cgedd.developpement-durable.gouv.fr/IMG/pdf/Nombre-montant-ventes-depuis-1967_cle0c5f3e.pdf" TargetMode="External"/><Relationship Id="rId16" Type="http://schemas.openxmlformats.org/officeDocument/2006/relationships/hyperlink" Target="http://www.cgedd.developpement-durable.gouv.fr/IMG/doc/historique-droit-mutation-immobilier-friggit_cle57bea8.doc" TargetMode="External"/><Relationship Id="rId11" Type="http://schemas.openxmlformats.org/officeDocument/2006/relationships/hyperlink" Target="http://www.cgedd.fr/house-price-france.doc" TargetMode="External"/><Relationship Id="rId32" Type="http://schemas.openxmlformats.org/officeDocument/2006/relationships/image" Target="media/image5.emf"/><Relationship Id="rId37" Type="http://schemas.openxmlformats.org/officeDocument/2006/relationships/image" Target="media/image8.emf"/><Relationship Id="rId53" Type="http://schemas.openxmlformats.org/officeDocument/2006/relationships/hyperlink" Target="http://www.cgedd.developpement-durable.gouv.fr/prix-immobilier-evolution-a-long-terme-a1048.html" TargetMode="External"/><Relationship Id="rId58" Type="http://schemas.openxmlformats.org/officeDocument/2006/relationships/hyperlink" Target="http://www.cgedd.developpement-durable.gouv.fr/prix-immobilier-evolution-a-long-terme-a1048.html" TargetMode="External"/><Relationship Id="rId74" Type="http://schemas.openxmlformats.org/officeDocument/2006/relationships/hyperlink" Target="http://www.cgedd.developpement-durable.gouv.fr/prix-immobilier-evolution-a-long-terme-a1048.html" TargetMode="External"/><Relationship Id="rId79" Type="http://schemas.openxmlformats.org/officeDocument/2006/relationships/hyperlink" Target="http://www.cgedd.fr/loyer-revenu-2013.pdf"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cgedd.developpement-durable.gouv.fr/IMG/doc/droit-immobilier-departement-urbanis-friggit_cle5114eb.doc" TargetMode="External"/><Relationship Id="rId95" Type="http://schemas.openxmlformats.org/officeDocument/2006/relationships/image" Target="media/image28.emf"/><Relationship Id="rId22" Type="http://schemas.openxmlformats.org/officeDocument/2006/relationships/hyperlink" Target="http://www.cgedd.developpement-durable.gouv.fr/dernieres-annonces-mensuelles-r445.html" TargetMode="External"/><Relationship Id="rId27" Type="http://schemas.openxmlformats.org/officeDocument/2006/relationships/hyperlink" Target="http://www.cgedd.fr/loyer-revenu-2013.pdf" TargetMode="External"/><Relationship Id="rId43" Type="http://schemas.openxmlformats.org/officeDocument/2006/relationships/image" Target="media/image10.emf"/><Relationship Id="rId48" Type="http://schemas.openxmlformats.org/officeDocument/2006/relationships/hyperlink" Target="http://www.cgedd.developpement-durable.gouv.fr/prix-immobilier-evolution-a-long-terme-a1048.html" TargetMode="External"/><Relationship Id="rId64" Type="http://schemas.openxmlformats.org/officeDocument/2006/relationships/hyperlink" Target="http://www.cgedd.developpement-durable.gouv.fr/prix-immobilier-evolution-a-long-terme-a1048.html" TargetMode="External"/><Relationship Id="rId69" Type="http://schemas.openxmlformats.org/officeDocument/2006/relationships/hyperlink" Target="http://www.cgedd.developpement-durable.gouv.fr/prix-immobilier-evolution-a-long-terme-a1048.html" TargetMode="External"/><Relationship Id="rId80" Type="http://schemas.openxmlformats.org/officeDocument/2006/relationships/hyperlink" Target="http://www.cgedd.developpement-durable.gouv.fr/IMG/doc/house-price-France-UK-USA_cle2286ff.doc" TargetMode="External"/><Relationship Id="rId85" Type="http://schemas.openxmlformats.org/officeDocument/2006/relationships/hyperlink" Target="http://www.cgedd.developpement-durable.gouv.fr/IMG/doc/saisonnalite_cle7add23-1.doc" TargetMode="External"/><Relationship Id="rId12" Type="http://schemas.openxmlformats.org/officeDocument/2006/relationships/hyperlink" Target="http://twitter.com/PrixImmoCgedd" TargetMode="External"/><Relationship Id="rId17" Type="http://schemas.openxmlformats.org/officeDocument/2006/relationships/hyperlink" Target="http://www.cgedd.developpement-durable.gouv.fr/prix-immobilier-evolution-a-long-terme-a1048.html" TargetMode="External"/><Relationship Id="rId25" Type="http://schemas.openxmlformats.org/officeDocument/2006/relationships/hyperlink" Target="http://www.cgedd.developpement-durable.gouv.fr/IMG/pdf/evolution-prix-immobilier-friggit_cle0c611b.pdf" TargetMode="External"/><Relationship Id="rId33" Type="http://schemas.openxmlformats.org/officeDocument/2006/relationships/image" Target="media/image6.emf"/><Relationship Id="rId38" Type="http://schemas.openxmlformats.org/officeDocument/2006/relationships/hyperlink" Target="http://www.cgedd.developpement-durable.gouv.fr/prix-immobilier-evolution-a-long-terme-a1048.html" TargetMode="External"/><Relationship Id="rId46" Type="http://schemas.openxmlformats.org/officeDocument/2006/relationships/image" Target="media/image11.emf"/><Relationship Id="rId59" Type="http://schemas.openxmlformats.org/officeDocument/2006/relationships/hyperlink" Target="http://www.cgedd.developpement-durable.gouv.fr/prix-immobilier-evolution-a-long-terme-a1048.html" TargetMode="External"/><Relationship Id="rId67" Type="http://schemas.openxmlformats.org/officeDocument/2006/relationships/image" Target="media/image24.emf"/><Relationship Id="rId20" Type="http://schemas.openxmlformats.org/officeDocument/2006/relationships/hyperlink" Target="http://www.cgedd.developpement-durable.gouv.fr/IMG/xls/prix-immo-paris-1200-2012_cle2f2d1a.xls" TargetMode="External"/><Relationship Id="rId41" Type="http://schemas.openxmlformats.org/officeDocument/2006/relationships/hyperlink" Target="http://www.cgedd.fr/loyer-revenu-2013.pdf" TargetMode="External"/><Relationship Id="rId54" Type="http://schemas.openxmlformats.org/officeDocument/2006/relationships/image" Target="media/image17.emf"/><Relationship Id="rId62" Type="http://schemas.openxmlformats.org/officeDocument/2006/relationships/hyperlink" Target="http://www.cgedd.developpement-durable.gouv.fr/prix-immobilier-evolution-a-long-terme-a1048.html" TargetMode="External"/><Relationship Id="rId70" Type="http://schemas.openxmlformats.org/officeDocument/2006/relationships/hyperlink" Target="http://www.cgedd.developpement-durable.gouv.fr/prix-immobilier-evolution-a-long-terme-a1048.html" TargetMode="External"/><Relationship Id="rId75" Type="http://schemas.openxmlformats.org/officeDocument/2006/relationships/hyperlink" Target="http://www.cgedd.developpement-durable.gouv.fr/prix-immobilier-evolution-a-long-terme-a1048.html" TargetMode="External"/><Relationship Id="rId83" Type="http://schemas.openxmlformats.org/officeDocument/2006/relationships/hyperlink" Target="http://www.cgedd.developpement-durable.gouv.fr/rubrique.php3?id_rubrique=138" TargetMode="External"/><Relationship Id="rId88" Type="http://schemas.openxmlformats.org/officeDocument/2006/relationships/hyperlink" Target="http://www.cgedd.developpement-durable.gouv.fr/IMG/doc/historique-droit-mutation-immobilier-friggit_cle57bea8.doc" TargetMode="External"/><Relationship Id="rId91" Type="http://schemas.openxmlformats.org/officeDocument/2006/relationships/hyperlink" Target="http://www.cgedd.developpement-durable.gouv.fr/nombre-et-montant-des-ventes-a1003.html" TargetMode="External"/><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gedd.developpement-durable.gouv.fr/IMG/doc/house-price-index-Paris-and-others-secular_cle7fed11.doc" TargetMode="External"/><Relationship Id="rId23" Type="http://schemas.openxmlformats.org/officeDocument/2006/relationships/image" Target="media/image2.emf"/><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3.emf"/><Relationship Id="rId57" Type="http://schemas.openxmlformats.org/officeDocument/2006/relationships/image" Target="media/image19.emf"/><Relationship Id="rId10" Type="http://schemas.openxmlformats.org/officeDocument/2006/relationships/image" Target="media/image1.png"/><Relationship Id="rId31" Type="http://schemas.openxmlformats.org/officeDocument/2006/relationships/hyperlink" Target="http://www.cgedd.developpement-durable.gouv.fr/prix-immobilier-evolution-a-long-terme-a1048.html" TargetMode="External"/><Relationship Id="rId44" Type="http://schemas.openxmlformats.org/officeDocument/2006/relationships/hyperlink" Target="http://www.cgedd.developpement-durable.gouv.fr/prix-immobilier-evolution-a-long-terme-a1048.html" TargetMode="External"/><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image" Target="media/image22.emf"/><Relationship Id="rId73" Type="http://schemas.openxmlformats.org/officeDocument/2006/relationships/image" Target="media/image27.emf"/><Relationship Id="rId78" Type="http://schemas.openxmlformats.org/officeDocument/2006/relationships/hyperlink" Target="http://www.cgedd.developpement-durable.gouv.fr/prix-immobilier-evolution-1200-a1048.html" TargetMode="External"/><Relationship Id="rId81" Type="http://schemas.openxmlformats.org/officeDocument/2006/relationships/hyperlink" Target="http://www.cgedd.developpement-durable.gouv.fr/IMG/doc/house-price-index-Paris-and-others-secular_cle7fed11.doc" TargetMode="External"/><Relationship Id="rId86" Type="http://schemas.openxmlformats.org/officeDocument/2006/relationships/hyperlink" Target="http://www.cgedd.developpement-durable.gouv.fr/IMG/pdf/elasticite-prix-immobilier-nombre_cle093f5d.pdf" TargetMode="External"/><Relationship Id="rId94" Type="http://schemas.openxmlformats.org/officeDocument/2006/relationships/hyperlink" Target="http://www.cepii.fr/francgraph/bdd/villa/mode.htm" TargetMode="External"/><Relationship Id="rId99" Type="http://schemas.openxmlformats.org/officeDocument/2006/relationships/image" Target="media/image32.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gedd.fr/house-price-france.doc" TargetMode="External"/><Relationship Id="rId13" Type="http://schemas.openxmlformats.org/officeDocument/2006/relationships/hyperlink" Target="http://www.cgedd.fr/prix-immobilier-presentation.pdf" TargetMode="External"/><Relationship Id="rId18" Type="http://schemas.openxmlformats.org/officeDocument/2006/relationships/hyperlink" Target="http://www.cgedd.developpement-durable.gouv.fr/dernieres-publications-a1136.html" TargetMode="External"/><Relationship Id="rId39" Type="http://schemas.openxmlformats.org/officeDocument/2006/relationships/hyperlink" Target="http://www.cgedd.developpement-durable.gouv.fr/prix-immobilier-evolution-a-long-terme-a1048.html" TargetMode="External"/><Relationship Id="rId34" Type="http://schemas.openxmlformats.org/officeDocument/2006/relationships/hyperlink" Target="http://www.cgedd.developpement-durable.gouv.fr/prix-immobilier-evolution-a-long-terme-a1048.html" TargetMode="External"/><Relationship Id="rId50" Type="http://schemas.openxmlformats.org/officeDocument/2006/relationships/image" Target="media/image14.emf"/><Relationship Id="rId55" Type="http://schemas.openxmlformats.org/officeDocument/2006/relationships/hyperlink" Target="http://www.cgedd.developpement-durable.gouv.fr/prix-immobilier-evolution-a-long-terme-a1048.html" TargetMode="External"/><Relationship Id="rId76" Type="http://schemas.openxmlformats.org/officeDocument/2006/relationships/hyperlink" Target="http://www.cgedd.developpement-durable.gouv.fr/prix-immobilier-evolution-a-long-terme-a1048.html" TargetMode="External"/><Relationship Id="rId97"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hyperlink" Target="http://www.cgedd.developpement-durable.gouv.fr/nombre-et-montant-des-ventes-a1003.html"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cgedd.developpement-durable.gouv.fr/prix-immobilier-evolution-a-long-terme-a1048.html" TargetMode="External"/><Relationship Id="rId40" Type="http://schemas.openxmlformats.org/officeDocument/2006/relationships/hyperlink" Target="http://www.cgedd.fr/loyer-revenu-2013.pdf" TargetMode="External"/><Relationship Id="rId45" Type="http://schemas.openxmlformats.org/officeDocument/2006/relationships/hyperlink" Target="http://www.cgedd.developpement-durable.gouv.fr/prix-immobilier-evolution-a-long-terme-a1048.html" TargetMode="External"/><Relationship Id="rId66" Type="http://schemas.openxmlformats.org/officeDocument/2006/relationships/image" Target="media/image23.emf"/><Relationship Id="rId87" Type="http://schemas.openxmlformats.org/officeDocument/2006/relationships/hyperlink" Target="http://www.cgedd.developpement-durable.gouv.fr/IMG/pdf/prix-maison-prix-appartement-2011_cle0ef7cf.pdf" TargetMode="External"/><Relationship Id="rId61" Type="http://schemas.openxmlformats.org/officeDocument/2006/relationships/image" Target="media/image21.emf"/><Relationship Id="rId82" Type="http://schemas.openxmlformats.org/officeDocument/2006/relationships/hyperlink" Target="http://www.cgedd.developpement-durable.gouv.fr/IMG/doc/action-immobilier-friggit_cle2c92a9.doc" TargetMode="External"/><Relationship Id="rId19" Type="http://schemas.openxmlformats.org/officeDocument/2006/relationships/hyperlink" Target="http://www.cgedd.developpement-durable.gouv.fr/IMG/xls/valeur-immobilier-1800-2015_cle2a7a51.xls" TargetMode="External"/><Relationship Id="rId14" Type="http://schemas.openxmlformats.org/officeDocument/2006/relationships/hyperlink" Target="http://www.cgedd.fr/loyer-revenu-2013.pdf" TargetMode="External"/><Relationship Id="rId30" Type="http://schemas.openxmlformats.org/officeDocument/2006/relationships/hyperlink" Target="http://www.cgedd.developpement-durable.gouv.fr/prix-immobilier-evolution-a-long-terme-a1048.html" TargetMode="External"/><Relationship Id="rId35" Type="http://schemas.openxmlformats.org/officeDocument/2006/relationships/hyperlink" Target="http://www.cgedd.developpement-durable.gouv.fr/prix-immobilier-evolution-a-long-terme-a1048.html" TargetMode="External"/><Relationship Id="rId56" Type="http://schemas.openxmlformats.org/officeDocument/2006/relationships/image" Target="media/image18.emf"/><Relationship Id="rId77" Type="http://schemas.openxmlformats.org/officeDocument/2006/relationships/hyperlink" Target="http://www.cgedd.developpement-durable.gouv.fr/IMG/xls/valeur-immobilier-1800-2010_cle2cc2f8.xls" TargetMode="External"/><Relationship Id="rId100" Type="http://schemas.openxmlformats.org/officeDocument/2006/relationships/hyperlink" Target="https://www.banque-france.fr/statistiques/parution-reference-name/conjoncture-industrie-services-et-batiment" TargetMode="External"/><Relationship Id="rId8" Type="http://schemas.openxmlformats.org/officeDocument/2006/relationships/hyperlink" Target="http://www.cgedd.developpement-durable.gouv.fr/dernieres-annonces-mensuelles-r445.html" TargetMode="External"/><Relationship Id="rId51" Type="http://schemas.openxmlformats.org/officeDocument/2006/relationships/image" Target="media/image15.emf"/><Relationship Id="rId72" Type="http://schemas.openxmlformats.org/officeDocument/2006/relationships/image" Target="media/image26.emf"/><Relationship Id="rId93" Type="http://schemas.openxmlformats.org/officeDocument/2006/relationships/hyperlink" Target="http://www.cgedd.developpement-durable.gouv.fr/IMG/pdf/dette-immobiliere-2030-friggit_cle7496ca.pdf" TargetMode="External"/><Relationship Id="rId98" Type="http://schemas.openxmlformats.org/officeDocument/2006/relationships/image" Target="media/image31.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F613-0BD5-4A24-8BF4-846BB10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3818</Words>
  <Characters>21002</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friggit 2020 prix immobilier maison appartement loyer</vt:lpstr>
    </vt:vector>
  </TitlesOfParts>
  <Manager>Friggit</Manager>
  <Company>CGEDD - Ministère</Company>
  <LinksUpToDate>false</LinksUpToDate>
  <CharactersWithSpaces>24771</CharactersWithSpaces>
  <SharedDoc>false</SharedDoc>
  <HyperlinkBase>http://www.cgedd.fr/prix-immobilier-friggit.doc</HyperlinkBase>
  <HLinks>
    <vt:vector size="402" baseType="variant">
      <vt:variant>
        <vt:i4>6291491</vt:i4>
      </vt:variant>
      <vt:variant>
        <vt:i4>348</vt:i4>
      </vt:variant>
      <vt:variant>
        <vt:i4>0</vt:i4>
      </vt:variant>
      <vt:variant>
        <vt:i4>5</vt:i4>
      </vt:variant>
      <vt:variant>
        <vt:lpwstr>http://www.statistiques.developpement-durable.gouv.fr/publications/p/1939/1539/demande-potentielle-logements-lhorizon-2030-estimation.html</vt:lpwstr>
      </vt:variant>
      <vt:variant>
        <vt:lpwstr/>
      </vt:variant>
      <vt:variant>
        <vt:i4>4456522</vt:i4>
      </vt:variant>
      <vt:variant>
        <vt:i4>345</vt:i4>
      </vt:variant>
      <vt:variant>
        <vt:i4>0</vt:i4>
      </vt:variant>
      <vt:variant>
        <vt:i4>5</vt:i4>
      </vt:variant>
      <vt:variant>
        <vt:lpwstr>http://www.cepii.fr/francgraph/bdd/villa/mode.htm</vt:lpwstr>
      </vt:variant>
      <vt:variant>
        <vt:lpwstr/>
      </vt:variant>
      <vt:variant>
        <vt:i4>5177387</vt:i4>
      </vt:variant>
      <vt:variant>
        <vt:i4>342</vt:i4>
      </vt:variant>
      <vt:variant>
        <vt:i4>0</vt:i4>
      </vt:variant>
      <vt:variant>
        <vt:i4>5</vt:i4>
      </vt:variant>
      <vt:variant>
        <vt:lpwstr>http://www.cgedd.developpement-durable.gouv.fr/IMG/pdf/dette-immobiliere-2030-friggit_cle7496ca.pdf</vt:lpwstr>
      </vt:variant>
      <vt:variant>
        <vt:lpwstr/>
      </vt:variant>
      <vt:variant>
        <vt:i4>7995425</vt:i4>
      </vt:variant>
      <vt:variant>
        <vt:i4>339</vt:i4>
      </vt:variant>
      <vt:variant>
        <vt:i4>0</vt:i4>
      </vt:variant>
      <vt:variant>
        <vt:i4>5</vt:i4>
      </vt:variant>
      <vt:variant>
        <vt:lpwstr>http://www.cgedd.fr/nombre-vente-maison-appartement-ancien.xls</vt:lpwstr>
      </vt:variant>
      <vt:variant>
        <vt:lpwstr/>
      </vt:variant>
      <vt:variant>
        <vt:i4>5701638</vt:i4>
      </vt:variant>
      <vt:variant>
        <vt:i4>336</vt:i4>
      </vt:variant>
      <vt:variant>
        <vt:i4>0</vt:i4>
      </vt:variant>
      <vt:variant>
        <vt:i4>5</vt:i4>
      </vt:variant>
      <vt:variant>
        <vt:lpwstr>http://www.cgedd.developpement-durable.gouv.fr/droits-de-mutation-immobiliers-par-a1652.html</vt:lpwstr>
      </vt:variant>
      <vt:variant>
        <vt:lpwstr/>
      </vt:variant>
      <vt:variant>
        <vt:i4>2228351</vt:i4>
      </vt:variant>
      <vt:variant>
        <vt:i4>333</vt:i4>
      </vt:variant>
      <vt:variant>
        <vt:i4>0</vt:i4>
      </vt:variant>
      <vt:variant>
        <vt:i4>5</vt:i4>
      </vt:variant>
      <vt:variant>
        <vt:lpwstr>http://www.cgedd.developpement-durable.gouv.fr/nombre-et-montant-des-ventes-a1003.html</vt:lpwstr>
      </vt:variant>
      <vt:variant>
        <vt:lpwstr/>
      </vt:variant>
      <vt:variant>
        <vt:i4>2228351</vt:i4>
      </vt:variant>
      <vt:variant>
        <vt:i4>330</vt:i4>
      </vt:variant>
      <vt:variant>
        <vt:i4>0</vt:i4>
      </vt:variant>
      <vt:variant>
        <vt:i4>5</vt:i4>
      </vt:variant>
      <vt:variant>
        <vt:lpwstr>http://www.cgedd.developpement-durable.gouv.fr/nombre-et-montant-des-ventes-a1003.html</vt:lpwstr>
      </vt:variant>
      <vt:variant>
        <vt:lpwstr/>
      </vt:variant>
      <vt:variant>
        <vt:i4>2228351</vt:i4>
      </vt:variant>
      <vt:variant>
        <vt:i4>327</vt:i4>
      </vt:variant>
      <vt:variant>
        <vt:i4>0</vt:i4>
      </vt:variant>
      <vt:variant>
        <vt:i4>5</vt:i4>
      </vt:variant>
      <vt:variant>
        <vt:lpwstr>http://www.cgedd.developpement-durable.gouv.fr/nombre-et-montant-des-ventes-a1003.html</vt:lpwstr>
      </vt:variant>
      <vt:variant>
        <vt:lpwstr/>
      </vt:variant>
      <vt:variant>
        <vt:i4>2424943</vt:i4>
      </vt:variant>
      <vt:variant>
        <vt:i4>324</vt:i4>
      </vt:variant>
      <vt:variant>
        <vt:i4>0</vt:i4>
      </vt:variant>
      <vt:variant>
        <vt:i4>5</vt:i4>
      </vt:variant>
      <vt:variant>
        <vt:lpwstr>http://www.cgedd.fr/valeur-immobilier-2011-assiette-commentaire.doc</vt:lpwstr>
      </vt:variant>
      <vt:variant>
        <vt:lpwstr/>
      </vt:variant>
      <vt:variant>
        <vt:i4>4063247</vt:i4>
      </vt:variant>
      <vt:variant>
        <vt:i4>321</vt:i4>
      </vt:variant>
      <vt:variant>
        <vt:i4>0</vt:i4>
      </vt:variant>
      <vt:variant>
        <vt:i4>5</vt:i4>
      </vt:variant>
      <vt:variant>
        <vt:lpwstr>http://www.cgedd.developpement-durable.gouv.fr/IMG/doc/droit-immobilier-departement-urbanis-friggit_cle5114eb.doc</vt:lpwstr>
      </vt:variant>
      <vt:variant>
        <vt:lpwstr/>
      </vt:variant>
      <vt:variant>
        <vt:i4>3932230</vt:i4>
      </vt:variant>
      <vt:variant>
        <vt:i4>318</vt:i4>
      </vt:variant>
      <vt:variant>
        <vt:i4>0</vt:i4>
      </vt:variant>
      <vt:variant>
        <vt:i4>5</vt:i4>
      </vt:variant>
      <vt:variant>
        <vt:lpwstr>http://www.cgedd.developpement-durable.gouv.fr/IMG/pdf/Nombre-montant-ventes-depuis-1967_cle0c5f3e.pdf</vt:lpwstr>
      </vt:variant>
      <vt:variant>
        <vt:lpwstr/>
      </vt:variant>
      <vt:variant>
        <vt:i4>8323079</vt:i4>
      </vt:variant>
      <vt:variant>
        <vt:i4>315</vt:i4>
      </vt:variant>
      <vt:variant>
        <vt:i4>0</vt:i4>
      </vt:variant>
      <vt:variant>
        <vt:i4>5</vt:i4>
      </vt:variant>
      <vt:variant>
        <vt:lpwstr>http://www.cgedd.developpement-durable.gouv.fr/IMG/doc/historique-droit-mutation-immobilier-friggit_cle57bea8.doc</vt:lpwstr>
      </vt:variant>
      <vt:variant>
        <vt:lpwstr/>
      </vt:variant>
      <vt:variant>
        <vt:i4>6684765</vt:i4>
      </vt:variant>
      <vt:variant>
        <vt:i4>312</vt:i4>
      </vt:variant>
      <vt:variant>
        <vt:i4>0</vt:i4>
      </vt:variant>
      <vt:variant>
        <vt:i4>5</vt:i4>
      </vt:variant>
      <vt:variant>
        <vt:lpwstr>http://www.cgedd.developpement-durable.gouv.fr/IMG/pdf/prix-maison-prix-appartement-2011_cle0ef7cf.pdf</vt:lpwstr>
      </vt:variant>
      <vt:variant>
        <vt:lpwstr/>
      </vt:variant>
      <vt:variant>
        <vt:i4>3473475</vt:i4>
      </vt:variant>
      <vt:variant>
        <vt:i4>309</vt:i4>
      </vt:variant>
      <vt:variant>
        <vt:i4>0</vt:i4>
      </vt:variant>
      <vt:variant>
        <vt:i4>5</vt:i4>
      </vt:variant>
      <vt:variant>
        <vt:lpwstr>http://www.cgedd.developpement-durable.gouv.fr/IMG/pdf/elasticite-prix-immobilier-nombre_cle093f5d.pdf</vt:lpwstr>
      </vt:variant>
      <vt:variant>
        <vt:lpwstr/>
      </vt:variant>
      <vt:variant>
        <vt:i4>5767228</vt:i4>
      </vt:variant>
      <vt:variant>
        <vt:i4>306</vt:i4>
      </vt:variant>
      <vt:variant>
        <vt:i4>0</vt:i4>
      </vt:variant>
      <vt:variant>
        <vt:i4>5</vt:i4>
      </vt:variant>
      <vt:variant>
        <vt:lpwstr>http://www.cgedd.developpement-durable.gouv.fr/IMG/doc/saisonnalite_cle7add23-1.doc</vt:lpwstr>
      </vt:variant>
      <vt:variant>
        <vt:lpwstr/>
      </vt:variant>
      <vt:variant>
        <vt:i4>4128891</vt:i4>
      </vt:variant>
      <vt:variant>
        <vt:i4>303</vt:i4>
      </vt:variant>
      <vt:variant>
        <vt:i4>0</vt:i4>
      </vt:variant>
      <vt:variant>
        <vt:i4>5</vt:i4>
      </vt:variant>
      <vt:variant>
        <vt:lpwstr>http://www.insee.fr/fr/ppp/sommaire/imet111.htm</vt:lpwstr>
      </vt:variant>
      <vt:variant>
        <vt:lpwstr/>
      </vt:variant>
      <vt:variant>
        <vt:i4>3735552</vt:i4>
      </vt:variant>
      <vt:variant>
        <vt:i4>300</vt:i4>
      </vt:variant>
      <vt:variant>
        <vt:i4>0</vt:i4>
      </vt:variant>
      <vt:variant>
        <vt:i4>5</vt:i4>
      </vt:variant>
      <vt:variant>
        <vt:lpwstr>http://www.cgedd.developpement-durable.gouv.fr/rubrique.php3?id_rubrique=138</vt:lpwstr>
      </vt:variant>
      <vt:variant>
        <vt:lpwstr/>
      </vt:variant>
      <vt:variant>
        <vt:i4>3604490</vt:i4>
      </vt:variant>
      <vt:variant>
        <vt:i4>297</vt:i4>
      </vt:variant>
      <vt:variant>
        <vt:i4>0</vt:i4>
      </vt:variant>
      <vt:variant>
        <vt:i4>5</vt:i4>
      </vt:variant>
      <vt:variant>
        <vt:lpwstr>http://www.cgedd.developpement-durable.gouv.fr/IMG/doc/action-immobilier-friggit_cle2c92a9.doc</vt:lpwstr>
      </vt:variant>
      <vt:variant>
        <vt:lpwstr/>
      </vt:variant>
      <vt:variant>
        <vt:i4>5767224</vt:i4>
      </vt:variant>
      <vt:variant>
        <vt:i4>294</vt:i4>
      </vt:variant>
      <vt:variant>
        <vt:i4>0</vt:i4>
      </vt:variant>
      <vt:variant>
        <vt:i4>5</vt:i4>
      </vt:variant>
      <vt:variant>
        <vt:lpwstr>http://www.cgedd.developpement-durable.gouv.fr/IMG/doc/house-price-index-Paris-and-others-secular_cle7fed11.doc</vt:lpwstr>
      </vt:variant>
      <vt:variant>
        <vt:lpwstr/>
      </vt:variant>
      <vt:variant>
        <vt:i4>3407881</vt:i4>
      </vt:variant>
      <vt:variant>
        <vt:i4>291</vt:i4>
      </vt:variant>
      <vt:variant>
        <vt:i4>0</vt:i4>
      </vt:variant>
      <vt:variant>
        <vt:i4>5</vt:i4>
      </vt:variant>
      <vt:variant>
        <vt:lpwstr>http://www.cgedd.developpement-durable.gouv.fr/IMG/doc/house-price-France-UK-USA_cle2286ff.doc</vt:lpwstr>
      </vt:variant>
      <vt:variant>
        <vt:lpwstr/>
      </vt:variant>
      <vt:variant>
        <vt:i4>1769564</vt:i4>
      </vt:variant>
      <vt:variant>
        <vt:i4>288</vt:i4>
      </vt:variant>
      <vt:variant>
        <vt:i4>0</vt:i4>
      </vt:variant>
      <vt:variant>
        <vt:i4>5</vt:i4>
      </vt:variant>
      <vt:variant>
        <vt:lpwstr>http://www.cgedd.fr/loyer-revenu-2013.pdf</vt:lpwstr>
      </vt:variant>
      <vt:variant>
        <vt:lpwstr/>
      </vt:variant>
      <vt:variant>
        <vt:i4>5177408</vt:i4>
      </vt:variant>
      <vt:variant>
        <vt:i4>285</vt:i4>
      </vt:variant>
      <vt:variant>
        <vt:i4>0</vt:i4>
      </vt:variant>
      <vt:variant>
        <vt:i4>5</vt:i4>
      </vt:variant>
      <vt:variant>
        <vt:lpwstr>http://www.cgedd.developpement-durable.gouv.fr/prix-immobilier-evolution-1200-a1048.html</vt:lpwstr>
      </vt:variant>
      <vt:variant>
        <vt:lpwstr/>
      </vt:variant>
      <vt:variant>
        <vt:i4>1245234</vt:i4>
      </vt:variant>
      <vt:variant>
        <vt:i4>282</vt:i4>
      </vt:variant>
      <vt:variant>
        <vt:i4>0</vt:i4>
      </vt:variant>
      <vt:variant>
        <vt:i4>5</vt:i4>
      </vt:variant>
      <vt:variant>
        <vt:lpwstr>http://www.cgedd.developpement-durable.gouv.fr/IMG/xls/valeur-immobilier-1800-2010_cle2cc2f8.xls</vt:lpwstr>
      </vt:variant>
      <vt:variant>
        <vt:lpwstr/>
      </vt:variant>
      <vt:variant>
        <vt:i4>5701662</vt:i4>
      </vt:variant>
      <vt:variant>
        <vt:i4>279</vt:i4>
      </vt:variant>
      <vt:variant>
        <vt:i4>0</vt:i4>
      </vt:variant>
      <vt:variant>
        <vt:i4>5</vt:i4>
      </vt:variant>
      <vt:variant>
        <vt:lpwstr>http://www.cgedd.fr/prix-immobilier-presentation.pdf</vt:lpwstr>
      </vt:variant>
      <vt:variant>
        <vt:lpwstr/>
      </vt:variant>
      <vt:variant>
        <vt:i4>3473475</vt:i4>
      </vt:variant>
      <vt:variant>
        <vt:i4>267</vt:i4>
      </vt:variant>
      <vt:variant>
        <vt:i4>0</vt:i4>
      </vt:variant>
      <vt:variant>
        <vt:i4>5</vt:i4>
      </vt:variant>
      <vt:variant>
        <vt:lpwstr>http://www.cgedd.developpement-durable.gouv.fr/IMG/pdf/elasticite-prix-immobilier-nombre_cle093f5d.pdf</vt:lpwstr>
      </vt:variant>
      <vt:variant>
        <vt:lpwstr/>
      </vt:variant>
      <vt:variant>
        <vt:i4>3473475</vt:i4>
      </vt:variant>
      <vt:variant>
        <vt:i4>264</vt:i4>
      </vt:variant>
      <vt:variant>
        <vt:i4>0</vt:i4>
      </vt:variant>
      <vt:variant>
        <vt:i4>5</vt:i4>
      </vt:variant>
      <vt:variant>
        <vt:lpwstr>http://www.cgedd.developpement-durable.gouv.fr/IMG/pdf/elasticite-prix-immobilier-nombre_cle093f5d.pdf</vt:lpwstr>
      </vt:variant>
      <vt:variant>
        <vt:lpwstr/>
      </vt:variant>
      <vt:variant>
        <vt:i4>3539058</vt:i4>
      </vt:variant>
      <vt:variant>
        <vt:i4>252</vt:i4>
      </vt:variant>
      <vt:variant>
        <vt:i4>0</vt:i4>
      </vt:variant>
      <vt:variant>
        <vt:i4>5</vt:i4>
      </vt:variant>
      <vt:variant>
        <vt:lpwstr>http://www.statistiques.developpement-durable.gouv.fr/theme/logement-construction/sous-theme/logements.html</vt:lpwstr>
      </vt:variant>
      <vt:variant>
        <vt:lpwstr/>
      </vt:variant>
      <vt:variant>
        <vt:i4>524292</vt:i4>
      </vt:variant>
      <vt:variant>
        <vt:i4>249</vt:i4>
      </vt:variant>
      <vt:variant>
        <vt:i4>0</vt:i4>
      </vt:variant>
      <vt:variant>
        <vt:i4>5</vt:i4>
      </vt:variant>
      <vt:variant>
        <vt:lpwstr>http://www.cgedd.developpement-durable.gouv.fr/prix-immobilier-evolution-a-long-terme-a1048.html</vt:lpwstr>
      </vt:variant>
      <vt:variant>
        <vt:lpwstr/>
      </vt:variant>
      <vt:variant>
        <vt:i4>524292</vt:i4>
      </vt:variant>
      <vt:variant>
        <vt:i4>246</vt:i4>
      </vt:variant>
      <vt:variant>
        <vt:i4>0</vt:i4>
      </vt:variant>
      <vt:variant>
        <vt:i4>5</vt:i4>
      </vt:variant>
      <vt:variant>
        <vt:lpwstr>http://www.cgedd.developpement-durable.gouv.fr/prix-immobilier-evolution-a-long-terme-a1048.html</vt:lpwstr>
      </vt:variant>
      <vt:variant>
        <vt:lpwstr/>
      </vt:variant>
      <vt:variant>
        <vt:i4>524292</vt:i4>
      </vt:variant>
      <vt:variant>
        <vt:i4>243</vt:i4>
      </vt:variant>
      <vt:variant>
        <vt:i4>0</vt:i4>
      </vt:variant>
      <vt:variant>
        <vt:i4>5</vt:i4>
      </vt:variant>
      <vt:variant>
        <vt:lpwstr>http://www.cgedd.developpement-durable.gouv.fr/prix-immobilier-evolution-a-long-terme-a1048.html</vt:lpwstr>
      </vt:variant>
      <vt:variant>
        <vt:lpwstr/>
      </vt:variant>
      <vt:variant>
        <vt:i4>524292</vt:i4>
      </vt:variant>
      <vt:variant>
        <vt:i4>228</vt:i4>
      </vt:variant>
      <vt:variant>
        <vt:i4>0</vt:i4>
      </vt:variant>
      <vt:variant>
        <vt:i4>5</vt:i4>
      </vt:variant>
      <vt:variant>
        <vt:lpwstr>http://www.cgedd.developpement-durable.gouv.fr/prix-immobilier-evolution-a-long-terme-a1048.html</vt:lpwstr>
      </vt:variant>
      <vt:variant>
        <vt:lpwstr/>
      </vt:variant>
      <vt:variant>
        <vt:i4>524292</vt:i4>
      </vt:variant>
      <vt:variant>
        <vt:i4>222</vt:i4>
      </vt:variant>
      <vt:variant>
        <vt:i4>0</vt:i4>
      </vt:variant>
      <vt:variant>
        <vt:i4>5</vt:i4>
      </vt:variant>
      <vt:variant>
        <vt:lpwstr>http://www.cgedd.developpement-durable.gouv.fr/prix-immobilier-evolution-a-long-terme-a1048.html</vt:lpwstr>
      </vt:variant>
      <vt:variant>
        <vt:lpwstr/>
      </vt:variant>
      <vt:variant>
        <vt:i4>524292</vt:i4>
      </vt:variant>
      <vt:variant>
        <vt:i4>219</vt:i4>
      </vt:variant>
      <vt:variant>
        <vt:i4>0</vt:i4>
      </vt:variant>
      <vt:variant>
        <vt:i4>5</vt:i4>
      </vt:variant>
      <vt:variant>
        <vt:lpwstr>http://www.cgedd.developpement-durable.gouv.fr/prix-immobilier-evolution-a-long-terme-a1048.html</vt:lpwstr>
      </vt:variant>
      <vt:variant>
        <vt:lpwstr/>
      </vt:variant>
      <vt:variant>
        <vt:i4>524292</vt:i4>
      </vt:variant>
      <vt:variant>
        <vt:i4>204</vt:i4>
      </vt:variant>
      <vt:variant>
        <vt:i4>0</vt:i4>
      </vt:variant>
      <vt:variant>
        <vt:i4>5</vt:i4>
      </vt:variant>
      <vt:variant>
        <vt:lpwstr>http://www.cgedd.developpement-durable.gouv.fr/prix-immobilier-evolution-a-long-terme-a1048.html</vt:lpwstr>
      </vt:variant>
      <vt:variant>
        <vt:lpwstr/>
      </vt:variant>
      <vt:variant>
        <vt:i4>524292</vt:i4>
      </vt:variant>
      <vt:variant>
        <vt:i4>198</vt:i4>
      </vt:variant>
      <vt:variant>
        <vt:i4>0</vt:i4>
      </vt:variant>
      <vt:variant>
        <vt:i4>5</vt:i4>
      </vt:variant>
      <vt:variant>
        <vt:lpwstr>http://www.cgedd.developpement-durable.gouv.fr/prix-immobilier-evolution-a-long-terme-a1048.html</vt:lpwstr>
      </vt:variant>
      <vt:variant>
        <vt:lpwstr/>
      </vt:variant>
      <vt:variant>
        <vt:i4>524292</vt:i4>
      </vt:variant>
      <vt:variant>
        <vt:i4>180</vt:i4>
      </vt:variant>
      <vt:variant>
        <vt:i4>0</vt:i4>
      </vt:variant>
      <vt:variant>
        <vt:i4>5</vt:i4>
      </vt:variant>
      <vt:variant>
        <vt:lpwstr>http://www.cgedd.developpement-durable.gouv.fr/prix-immobilier-evolution-a-long-terme-a1048.html</vt:lpwstr>
      </vt:variant>
      <vt:variant>
        <vt:lpwstr/>
      </vt:variant>
      <vt:variant>
        <vt:i4>524292</vt:i4>
      </vt:variant>
      <vt:variant>
        <vt:i4>168</vt:i4>
      </vt:variant>
      <vt:variant>
        <vt:i4>0</vt:i4>
      </vt:variant>
      <vt:variant>
        <vt:i4>5</vt:i4>
      </vt:variant>
      <vt:variant>
        <vt:lpwstr>http://www.cgedd.developpement-durable.gouv.fr/prix-immobilier-evolution-a-long-terme-a1048.html</vt:lpwstr>
      </vt:variant>
      <vt:variant>
        <vt:lpwstr/>
      </vt:variant>
      <vt:variant>
        <vt:i4>524292</vt:i4>
      </vt:variant>
      <vt:variant>
        <vt:i4>159</vt:i4>
      </vt:variant>
      <vt:variant>
        <vt:i4>0</vt:i4>
      </vt:variant>
      <vt:variant>
        <vt:i4>5</vt:i4>
      </vt:variant>
      <vt:variant>
        <vt:lpwstr>http://www.cgedd.developpement-durable.gouv.fr/prix-immobilier-evolution-a-long-terme-a1048.html</vt:lpwstr>
      </vt:variant>
      <vt:variant>
        <vt:lpwstr/>
      </vt:variant>
      <vt:variant>
        <vt:i4>524292</vt:i4>
      </vt:variant>
      <vt:variant>
        <vt:i4>153</vt:i4>
      </vt:variant>
      <vt:variant>
        <vt:i4>0</vt:i4>
      </vt:variant>
      <vt:variant>
        <vt:i4>5</vt:i4>
      </vt:variant>
      <vt:variant>
        <vt:lpwstr>http://www.cgedd.developpement-durable.gouv.fr/prix-immobilier-evolution-a-long-terme-a1048.html</vt:lpwstr>
      </vt:variant>
      <vt:variant>
        <vt:lpwstr/>
      </vt:variant>
      <vt:variant>
        <vt:i4>524292</vt:i4>
      </vt:variant>
      <vt:variant>
        <vt:i4>144</vt:i4>
      </vt:variant>
      <vt:variant>
        <vt:i4>0</vt:i4>
      </vt:variant>
      <vt:variant>
        <vt:i4>5</vt:i4>
      </vt:variant>
      <vt:variant>
        <vt:lpwstr>http://www.cgedd.developpement-durable.gouv.fr/prix-immobilier-evolution-a-long-terme-a1048.html</vt:lpwstr>
      </vt:variant>
      <vt:variant>
        <vt:lpwstr/>
      </vt:variant>
      <vt:variant>
        <vt:i4>1769564</vt:i4>
      </vt:variant>
      <vt:variant>
        <vt:i4>138</vt:i4>
      </vt:variant>
      <vt:variant>
        <vt:i4>0</vt:i4>
      </vt:variant>
      <vt:variant>
        <vt:i4>5</vt:i4>
      </vt:variant>
      <vt:variant>
        <vt:lpwstr>http://www.cgedd.fr/loyer-revenu-2013.pdf</vt:lpwstr>
      </vt:variant>
      <vt:variant>
        <vt:lpwstr/>
      </vt:variant>
      <vt:variant>
        <vt:i4>524292</vt:i4>
      </vt:variant>
      <vt:variant>
        <vt:i4>132</vt:i4>
      </vt:variant>
      <vt:variant>
        <vt:i4>0</vt:i4>
      </vt:variant>
      <vt:variant>
        <vt:i4>5</vt:i4>
      </vt:variant>
      <vt:variant>
        <vt:lpwstr>http://www.cgedd.developpement-durable.gouv.fr/prix-immobilier-evolution-a-long-terme-a1048.html</vt:lpwstr>
      </vt:variant>
      <vt:variant>
        <vt:lpwstr/>
      </vt:variant>
      <vt:variant>
        <vt:i4>524292</vt:i4>
      </vt:variant>
      <vt:variant>
        <vt:i4>126</vt:i4>
      </vt:variant>
      <vt:variant>
        <vt:i4>0</vt:i4>
      </vt:variant>
      <vt:variant>
        <vt:i4>5</vt:i4>
      </vt:variant>
      <vt:variant>
        <vt:lpwstr>http://www.cgedd.developpement-durable.gouv.fr/prix-immobilier-evolution-a-long-terme-a1048.html</vt:lpwstr>
      </vt:variant>
      <vt:variant>
        <vt:lpwstr/>
      </vt:variant>
      <vt:variant>
        <vt:i4>524292</vt:i4>
      </vt:variant>
      <vt:variant>
        <vt:i4>108</vt:i4>
      </vt:variant>
      <vt:variant>
        <vt:i4>0</vt:i4>
      </vt:variant>
      <vt:variant>
        <vt:i4>5</vt:i4>
      </vt:variant>
      <vt:variant>
        <vt:lpwstr>http://www.cgedd.developpement-durable.gouv.fr/prix-immobilier-evolution-a-long-terme-a1048.html</vt:lpwstr>
      </vt:variant>
      <vt:variant>
        <vt:lpwstr/>
      </vt:variant>
      <vt:variant>
        <vt:i4>524292</vt:i4>
      </vt:variant>
      <vt:variant>
        <vt:i4>105</vt:i4>
      </vt:variant>
      <vt:variant>
        <vt:i4>0</vt:i4>
      </vt:variant>
      <vt:variant>
        <vt:i4>5</vt:i4>
      </vt:variant>
      <vt:variant>
        <vt:lpwstr>http://www.cgedd.developpement-durable.gouv.fr/prix-immobilier-evolution-a-long-terme-a1048.html</vt:lpwstr>
      </vt:variant>
      <vt:variant>
        <vt:lpwstr/>
      </vt:variant>
      <vt:variant>
        <vt:i4>524292</vt:i4>
      </vt:variant>
      <vt:variant>
        <vt:i4>90</vt:i4>
      </vt:variant>
      <vt:variant>
        <vt:i4>0</vt:i4>
      </vt:variant>
      <vt:variant>
        <vt:i4>5</vt:i4>
      </vt:variant>
      <vt:variant>
        <vt:lpwstr>http://www.cgedd.developpement-durable.gouv.fr/prix-immobilier-evolution-a-long-terme-a1048.html</vt:lpwstr>
      </vt:variant>
      <vt:variant>
        <vt:lpwstr/>
      </vt:variant>
      <vt:variant>
        <vt:i4>524292</vt:i4>
      </vt:variant>
      <vt:variant>
        <vt:i4>87</vt:i4>
      </vt:variant>
      <vt:variant>
        <vt:i4>0</vt:i4>
      </vt:variant>
      <vt:variant>
        <vt:i4>5</vt:i4>
      </vt:variant>
      <vt:variant>
        <vt:lpwstr>http://www.cgedd.developpement-durable.gouv.fr/prix-immobilier-evolution-a-long-terme-a1048.html</vt:lpwstr>
      </vt:variant>
      <vt:variant>
        <vt:lpwstr/>
      </vt:variant>
      <vt:variant>
        <vt:i4>524292</vt:i4>
      </vt:variant>
      <vt:variant>
        <vt:i4>72</vt:i4>
      </vt:variant>
      <vt:variant>
        <vt:i4>0</vt:i4>
      </vt:variant>
      <vt:variant>
        <vt:i4>5</vt:i4>
      </vt:variant>
      <vt:variant>
        <vt:lpwstr>http://www.cgedd.developpement-durable.gouv.fr/prix-immobilier-evolution-a-long-terme-a1048.html</vt:lpwstr>
      </vt:variant>
      <vt:variant>
        <vt:lpwstr/>
      </vt:variant>
      <vt:variant>
        <vt:i4>524292</vt:i4>
      </vt:variant>
      <vt:variant>
        <vt:i4>63</vt:i4>
      </vt:variant>
      <vt:variant>
        <vt:i4>0</vt:i4>
      </vt:variant>
      <vt:variant>
        <vt:i4>5</vt:i4>
      </vt:variant>
      <vt:variant>
        <vt:lpwstr>http://www.cgedd.developpement-durable.gouv.fr/prix-immobilier-evolution-a-long-terme-a1048.html</vt:lpwstr>
      </vt:variant>
      <vt:variant>
        <vt:lpwstr/>
      </vt:variant>
      <vt:variant>
        <vt:i4>1769564</vt:i4>
      </vt:variant>
      <vt:variant>
        <vt:i4>54</vt:i4>
      </vt:variant>
      <vt:variant>
        <vt:i4>0</vt:i4>
      </vt:variant>
      <vt:variant>
        <vt:i4>5</vt:i4>
      </vt:variant>
      <vt:variant>
        <vt:lpwstr>http://www.cgedd.fr/loyer-revenu-2013.pdf</vt:lpwstr>
      </vt:variant>
      <vt:variant>
        <vt:lpwstr/>
      </vt:variant>
      <vt:variant>
        <vt:i4>3932230</vt:i4>
      </vt:variant>
      <vt:variant>
        <vt:i4>51</vt:i4>
      </vt:variant>
      <vt:variant>
        <vt:i4>0</vt:i4>
      </vt:variant>
      <vt:variant>
        <vt:i4>5</vt:i4>
      </vt:variant>
      <vt:variant>
        <vt:lpwstr>http://www.cgedd.developpement-durable.gouv.fr/IMG/pdf/Nombre-montant-ventes-depuis-1967_cle0c5f3e.pdf</vt:lpwstr>
      </vt:variant>
      <vt:variant>
        <vt:lpwstr/>
      </vt:variant>
      <vt:variant>
        <vt:i4>7602197</vt:i4>
      </vt:variant>
      <vt:variant>
        <vt:i4>48</vt:i4>
      </vt:variant>
      <vt:variant>
        <vt:i4>0</vt:i4>
      </vt:variant>
      <vt:variant>
        <vt:i4>5</vt:i4>
      </vt:variant>
      <vt:variant>
        <vt:lpwstr>http://www.cgedd.developpement-durable.gouv.fr/IMG/pdf/evolution-prix-immobilier-friggit_cle0c611b.pdf</vt:lpwstr>
      </vt:variant>
      <vt:variant>
        <vt:lpwstr/>
      </vt:variant>
      <vt:variant>
        <vt:i4>524292</vt:i4>
      </vt:variant>
      <vt:variant>
        <vt:i4>45</vt:i4>
      </vt:variant>
      <vt:variant>
        <vt:i4>0</vt:i4>
      </vt:variant>
      <vt:variant>
        <vt:i4>5</vt:i4>
      </vt:variant>
      <vt:variant>
        <vt:lpwstr>http://www.cgedd.developpement-durable.gouv.fr/prix-immobilier-evolution-a-long-terme-a1048.html</vt:lpwstr>
      </vt:variant>
      <vt:variant>
        <vt:lpwstr/>
      </vt:variant>
      <vt:variant>
        <vt:i4>8192055</vt:i4>
      </vt:variant>
      <vt:variant>
        <vt:i4>39</vt:i4>
      </vt:variant>
      <vt:variant>
        <vt:i4>0</vt:i4>
      </vt:variant>
      <vt:variant>
        <vt:i4>5</vt:i4>
      </vt:variant>
      <vt:variant>
        <vt:lpwstr>http://www.cgedd.developpement-durable.gouv.fr/comment-recevoir-les-annonces-des-a1047.html</vt:lpwstr>
      </vt:variant>
      <vt:variant>
        <vt:lpwstr/>
      </vt:variant>
      <vt:variant>
        <vt:i4>7208972</vt:i4>
      </vt:variant>
      <vt:variant>
        <vt:i4>36</vt:i4>
      </vt:variant>
      <vt:variant>
        <vt:i4>0</vt:i4>
      </vt:variant>
      <vt:variant>
        <vt:i4>5</vt:i4>
      </vt:variant>
      <vt:variant>
        <vt:lpwstr>http://www.cgedd.developpement-durable.gouv.fr/IMG/xls/prix-immo-paris-1200-2012_cle2f2d1a.xls</vt:lpwstr>
      </vt:variant>
      <vt:variant>
        <vt:lpwstr/>
      </vt:variant>
      <vt:variant>
        <vt:i4>5111861</vt:i4>
      </vt:variant>
      <vt:variant>
        <vt:i4>33</vt:i4>
      </vt:variant>
      <vt:variant>
        <vt:i4>0</vt:i4>
      </vt:variant>
      <vt:variant>
        <vt:i4>5</vt:i4>
      </vt:variant>
      <vt:variant>
        <vt:lpwstr>http://www.cgedd.developpement-durable.gouv.fr/IMG/xls/valeur-immobilier-1800-2015_cle2a7a51.xls</vt:lpwstr>
      </vt:variant>
      <vt:variant>
        <vt:lpwstr/>
      </vt:variant>
      <vt:variant>
        <vt:i4>1441821</vt:i4>
      </vt:variant>
      <vt:variant>
        <vt:i4>30</vt:i4>
      </vt:variant>
      <vt:variant>
        <vt:i4>0</vt:i4>
      </vt:variant>
      <vt:variant>
        <vt:i4>5</vt:i4>
      </vt:variant>
      <vt:variant>
        <vt:lpwstr>http://www.cgedd.developpement-durable.gouv.fr/dernieres-publications-a1136.html</vt:lpwstr>
      </vt:variant>
      <vt:variant>
        <vt:lpwstr/>
      </vt:variant>
      <vt:variant>
        <vt:i4>524292</vt:i4>
      </vt:variant>
      <vt:variant>
        <vt:i4>27</vt:i4>
      </vt:variant>
      <vt:variant>
        <vt:i4>0</vt:i4>
      </vt:variant>
      <vt:variant>
        <vt:i4>5</vt:i4>
      </vt:variant>
      <vt:variant>
        <vt:lpwstr>http://www.cgedd.developpement-durable.gouv.fr/prix-immobilier-evolution-a-long-terme-a1048.html</vt:lpwstr>
      </vt:variant>
      <vt:variant>
        <vt:lpwstr/>
      </vt:variant>
      <vt:variant>
        <vt:i4>8323079</vt:i4>
      </vt:variant>
      <vt:variant>
        <vt:i4>24</vt:i4>
      </vt:variant>
      <vt:variant>
        <vt:i4>0</vt:i4>
      </vt:variant>
      <vt:variant>
        <vt:i4>5</vt:i4>
      </vt:variant>
      <vt:variant>
        <vt:lpwstr>http://www.cgedd.developpement-durable.gouv.fr/IMG/doc/historique-droit-mutation-immobilier-friggit_cle57bea8.doc</vt:lpwstr>
      </vt:variant>
      <vt:variant>
        <vt:lpwstr/>
      </vt:variant>
      <vt:variant>
        <vt:i4>5767224</vt:i4>
      </vt:variant>
      <vt:variant>
        <vt:i4>21</vt:i4>
      </vt:variant>
      <vt:variant>
        <vt:i4>0</vt:i4>
      </vt:variant>
      <vt:variant>
        <vt:i4>5</vt:i4>
      </vt:variant>
      <vt:variant>
        <vt:lpwstr>http://www.cgedd.developpement-durable.gouv.fr/IMG/doc/house-price-index-Paris-and-others-secular_cle7fed11.doc</vt:lpwstr>
      </vt:variant>
      <vt:variant>
        <vt:lpwstr/>
      </vt:variant>
      <vt:variant>
        <vt:i4>7602197</vt:i4>
      </vt:variant>
      <vt:variant>
        <vt:i4>18</vt:i4>
      </vt:variant>
      <vt:variant>
        <vt:i4>0</vt:i4>
      </vt:variant>
      <vt:variant>
        <vt:i4>5</vt:i4>
      </vt:variant>
      <vt:variant>
        <vt:lpwstr>http://www.cgedd.developpement-durable.gouv.fr/IMG/pdf/evolution-prix-immobilier-friggit_cle0c611b.pdf</vt:lpwstr>
      </vt:variant>
      <vt:variant>
        <vt:lpwstr/>
      </vt:variant>
      <vt:variant>
        <vt:i4>1769564</vt:i4>
      </vt:variant>
      <vt:variant>
        <vt:i4>15</vt:i4>
      </vt:variant>
      <vt:variant>
        <vt:i4>0</vt:i4>
      </vt:variant>
      <vt:variant>
        <vt:i4>5</vt:i4>
      </vt:variant>
      <vt:variant>
        <vt:lpwstr>http://www.cgedd.fr/loyer-revenu-2013.pdf</vt:lpwstr>
      </vt:variant>
      <vt:variant>
        <vt:lpwstr/>
      </vt:variant>
      <vt:variant>
        <vt:i4>5701662</vt:i4>
      </vt:variant>
      <vt:variant>
        <vt:i4>12</vt:i4>
      </vt:variant>
      <vt:variant>
        <vt:i4>0</vt:i4>
      </vt:variant>
      <vt:variant>
        <vt:i4>5</vt:i4>
      </vt:variant>
      <vt:variant>
        <vt:lpwstr>http://www.cgedd.fr/prix-immobilier-presentation.pdf</vt:lpwstr>
      </vt:variant>
      <vt:variant>
        <vt:lpwstr/>
      </vt:variant>
      <vt:variant>
        <vt:i4>4259850</vt:i4>
      </vt:variant>
      <vt:variant>
        <vt:i4>9</vt:i4>
      </vt:variant>
      <vt:variant>
        <vt:i4>0</vt:i4>
      </vt:variant>
      <vt:variant>
        <vt:i4>5</vt:i4>
      </vt:variant>
      <vt:variant>
        <vt:lpwstr>http://twitter.com/PrixImmoCgedd</vt:lpwstr>
      </vt:variant>
      <vt:variant>
        <vt:lpwstr/>
      </vt:variant>
      <vt:variant>
        <vt:i4>7536686</vt:i4>
      </vt:variant>
      <vt:variant>
        <vt:i4>6</vt:i4>
      </vt:variant>
      <vt:variant>
        <vt:i4>0</vt:i4>
      </vt:variant>
      <vt:variant>
        <vt:i4>5</vt:i4>
      </vt:variant>
      <vt:variant>
        <vt:lpwstr>http://www.cgedd.fr/house-price-france.doc</vt:lpwstr>
      </vt:variant>
      <vt:variant>
        <vt:lpwstr/>
      </vt:variant>
      <vt:variant>
        <vt:i4>7536686</vt:i4>
      </vt:variant>
      <vt:variant>
        <vt:i4>3</vt:i4>
      </vt:variant>
      <vt:variant>
        <vt:i4>0</vt:i4>
      </vt:variant>
      <vt:variant>
        <vt:i4>5</vt:i4>
      </vt:variant>
      <vt:variant>
        <vt:lpwstr>http://www.cgedd.fr/house-price-france.doc</vt:lpwstr>
      </vt:variant>
      <vt:variant>
        <vt:lpwstr/>
      </vt:variant>
      <vt:variant>
        <vt:i4>2555947</vt:i4>
      </vt:variant>
      <vt:variant>
        <vt:i4>0</vt:i4>
      </vt:variant>
      <vt:variant>
        <vt:i4>0</vt:i4>
      </vt:variant>
      <vt:variant>
        <vt:i4>5</vt:i4>
      </vt:variant>
      <vt:variant>
        <vt:lpwstr>http://www.cgedd.developpement-durable.gouv.fr/dernieres-annonces-mensuelles-r445.html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friggit 2020 prix immobilier maison appartement loyer</dc:title>
  <dc:subject>J. Friggit actualise ici divers graphiques sur le prix immobilier: "courbe de Friggit" et "tunnel de Friggit",  graphiques historiques sur les évolutions depuis 1800, y compris loyers, actions, taux d'intérêt, crédit immobilier,revenu par ménage, indices Notaires-INSEE.</dc:subject>
  <dc:creator>Friggit</dc:creator>
  <cp:keywords>Prix, immobilier, maison, appartement, loyer, indice, statistique, long terme, tunnel, Friggit, courbe, graphique, notaires, insee, actualisation, loyer, évolution, historique, actions, taux d’intérêt, emprunt, revenu, pouvoir d’achat, Paris, nombre,</cp:keywords>
  <dc:description>Prix de l'immobilier résidentiel, montant et nombre des transactions immobilières, taux d'intérêt, valeur d'un placement en actions</dc:description>
  <cp:lastModifiedBy>lambert debus</cp:lastModifiedBy>
  <cp:revision>2</cp:revision>
  <cp:lastPrinted>2020-11-09T10:34:00Z</cp:lastPrinted>
  <dcterms:created xsi:type="dcterms:W3CDTF">2021-01-28T13:49:00Z</dcterms:created>
  <dcterms:modified xsi:type="dcterms:W3CDTF">2021-01-28T13:49:00Z</dcterms:modified>
  <cp:category>Prix immobilier 2018</cp:category>
</cp:coreProperties>
</file>